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D6509" w14:textId="5CAF3B2A" w:rsidR="00F921E2" w:rsidRDefault="00F921E2" w:rsidP="001C1412">
      <w:pPr>
        <w:pStyle w:val="Title"/>
        <w:rPr>
          <w:rFonts w:asciiTheme="minorHAnsi" w:hAnsiTheme="minorHAnsi"/>
          <w:sz w:val="22"/>
          <w:szCs w:val="22"/>
        </w:rPr>
      </w:pPr>
      <w:r>
        <w:rPr>
          <w:rFonts w:asciiTheme="minorHAnsi" w:hAnsiTheme="minorHAnsi"/>
          <w:noProof/>
          <w:sz w:val="22"/>
          <w:szCs w:val="22"/>
        </w:rPr>
        <w:drawing>
          <wp:inline distT="0" distB="0" distL="0" distR="0" wp14:anchorId="497D95F8" wp14:editId="70637D4E">
            <wp:extent cx="5760720" cy="1415415"/>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Promise-Logo.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415415"/>
                    </a:xfrm>
                    <a:prstGeom prst="rect">
                      <a:avLst/>
                    </a:prstGeom>
                  </pic:spPr>
                </pic:pic>
              </a:graphicData>
            </a:graphic>
          </wp:inline>
        </w:drawing>
      </w:r>
    </w:p>
    <w:p w14:paraId="2F79C098" w14:textId="77777777" w:rsidR="00F921E2" w:rsidRDefault="00F921E2" w:rsidP="001C1412">
      <w:pPr>
        <w:pStyle w:val="Title"/>
        <w:rPr>
          <w:rFonts w:asciiTheme="minorHAnsi" w:hAnsiTheme="minorHAnsi"/>
          <w:sz w:val="22"/>
          <w:szCs w:val="22"/>
        </w:rPr>
      </w:pPr>
    </w:p>
    <w:p w14:paraId="6CDE5524" w14:textId="77777777" w:rsidR="00F921E2" w:rsidRDefault="00F921E2" w:rsidP="001C1412">
      <w:pPr>
        <w:pStyle w:val="Title"/>
        <w:rPr>
          <w:rFonts w:asciiTheme="minorHAnsi" w:hAnsiTheme="minorHAnsi"/>
          <w:sz w:val="22"/>
          <w:szCs w:val="22"/>
        </w:rPr>
      </w:pPr>
    </w:p>
    <w:p w14:paraId="727F69C3" w14:textId="77777777" w:rsidR="00F921E2" w:rsidRDefault="00F921E2" w:rsidP="00F921E2">
      <w:pPr>
        <w:pStyle w:val="Title"/>
        <w:rPr>
          <w:rFonts w:asciiTheme="minorHAnsi" w:hAnsiTheme="minorHAnsi"/>
          <w:i/>
          <w:sz w:val="22"/>
          <w:szCs w:val="22"/>
        </w:rPr>
      </w:pPr>
    </w:p>
    <w:p w14:paraId="0A3EAB32" w14:textId="77777777" w:rsidR="00F921E2" w:rsidRPr="00F921E2" w:rsidRDefault="00F921E2" w:rsidP="00F921E2"/>
    <w:p w14:paraId="435DC758" w14:textId="11E4DC20" w:rsidR="001C1412" w:rsidRPr="00607EEE" w:rsidRDefault="003E7C30" w:rsidP="00F921E2">
      <w:pPr>
        <w:pStyle w:val="Title"/>
        <w:jc w:val="center"/>
        <w:rPr>
          <w:rFonts w:asciiTheme="minorHAnsi" w:hAnsiTheme="minorHAnsi"/>
          <w:sz w:val="28"/>
          <w:szCs w:val="28"/>
        </w:rPr>
      </w:pPr>
      <w:r w:rsidRPr="00607EEE">
        <w:rPr>
          <w:rFonts w:asciiTheme="minorHAnsi" w:hAnsiTheme="minorHAnsi"/>
          <w:sz w:val="28"/>
          <w:szCs w:val="28"/>
        </w:rPr>
        <w:t xml:space="preserve">Harnessing </w:t>
      </w:r>
      <w:r w:rsidR="001C1412" w:rsidRPr="00607EEE">
        <w:rPr>
          <w:rFonts w:asciiTheme="minorHAnsi" w:hAnsiTheme="minorHAnsi"/>
          <w:sz w:val="28"/>
          <w:szCs w:val="28"/>
        </w:rPr>
        <w:t xml:space="preserve">Pull Mechanisms for </w:t>
      </w:r>
      <w:r w:rsidRPr="00607EEE">
        <w:rPr>
          <w:rFonts w:asciiTheme="minorHAnsi" w:hAnsiTheme="minorHAnsi"/>
          <w:sz w:val="28"/>
          <w:szCs w:val="28"/>
        </w:rPr>
        <w:t xml:space="preserve">Advancing </w:t>
      </w:r>
      <w:r w:rsidR="001C1412" w:rsidRPr="00607EEE">
        <w:rPr>
          <w:rFonts w:asciiTheme="minorHAnsi" w:hAnsiTheme="minorHAnsi"/>
          <w:sz w:val="28"/>
          <w:szCs w:val="28"/>
        </w:rPr>
        <w:t>Learning Technologies</w:t>
      </w:r>
    </w:p>
    <w:p w14:paraId="194DACD6" w14:textId="77777777" w:rsidR="00607EEE" w:rsidRDefault="00607EEE" w:rsidP="00F921E2">
      <w:pPr>
        <w:pStyle w:val="Title"/>
        <w:jc w:val="center"/>
        <w:rPr>
          <w:rFonts w:asciiTheme="minorHAnsi" w:hAnsiTheme="minorHAnsi"/>
          <w:i/>
          <w:sz w:val="22"/>
          <w:szCs w:val="22"/>
        </w:rPr>
      </w:pPr>
    </w:p>
    <w:p w14:paraId="0EBA376E" w14:textId="08E5804E" w:rsidR="00861417" w:rsidRDefault="00740D7B" w:rsidP="00F921E2">
      <w:pPr>
        <w:pStyle w:val="Title"/>
        <w:jc w:val="center"/>
        <w:rPr>
          <w:rFonts w:asciiTheme="minorHAnsi" w:hAnsiTheme="minorHAnsi"/>
          <w:i/>
          <w:sz w:val="22"/>
          <w:szCs w:val="22"/>
        </w:rPr>
      </w:pPr>
      <w:r>
        <w:rPr>
          <w:rFonts w:asciiTheme="minorHAnsi" w:hAnsiTheme="minorHAnsi"/>
          <w:i/>
          <w:sz w:val="22"/>
          <w:szCs w:val="22"/>
        </w:rPr>
        <w:t>August 2014</w:t>
      </w:r>
    </w:p>
    <w:p w14:paraId="42E14E08" w14:textId="77777777" w:rsidR="00607EEE" w:rsidRDefault="00607EEE" w:rsidP="00F921E2">
      <w:pPr>
        <w:pStyle w:val="Title"/>
        <w:jc w:val="center"/>
        <w:rPr>
          <w:rFonts w:asciiTheme="minorHAnsi" w:hAnsiTheme="minorHAnsi"/>
          <w:i/>
          <w:sz w:val="22"/>
          <w:szCs w:val="22"/>
        </w:rPr>
      </w:pPr>
    </w:p>
    <w:p w14:paraId="78D935BD" w14:textId="6D264F56" w:rsidR="00A87E67" w:rsidRPr="00A87E67" w:rsidRDefault="00740D7B" w:rsidP="00A87E67">
      <w:pPr>
        <w:pStyle w:val="Title"/>
        <w:jc w:val="center"/>
        <w:rPr>
          <w:rFonts w:asciiTheme="minorHAnsi" w:hAnsiTheme="minorHAnsi"/>
          <w:i/>
          <w:sz w:val="22"/>
          <w:szCs w:val="22"/>
        </w:rPr>
      </w:pPr>
      <w:r>
        <w:rPr>
          <w:rFonts w:asciiTheme="minorHAnsi" w:hAnsiTheme="minorHAnsi"/>
          <w:i/>
          <w:sz w:val="22"/>
          <w:szCs w:val="22"/>
        </w:rPr>
        <w:t>A version of this paper was originally submitted to the</w:t>
      </w:r>
      <w:r w:rsidR="00FD3120" w:rsidRPr="003E7C30">
        <w:rPr>
          <w:rFonts w:asciiTheme="minorHAnsi" w:hAnsiTheme="minorHAnsi"/>
          <w:i/>
          <w:sz w:val="22"/>
          <w:szCs w:val="22"/>
        </w:rPr>
        <w:t xml:space="preserve"> </w:t>
      </w:r>
      <w:r w:rsidR="003E7C30">
        <w:rPr>
          <w:rFonts w:asciiTheme="minorHAnsi" w:hAnsiTheme="minorHAnsi"/>
          <w:i/>
          <w:sz w:val="22"/>
          <w:szCs w:val="22"/>
        </w:rPr>
        <w:t xml:space="preserve">White House Office of Science and Technology Policy </w:t>
      </w:r>
      <w:r>
        <w:rPr>
          <w:rFonts w:asciiTheme="minorHAnsi" w:hAnsiTheme="minorHAnsi"/>
          <w:i/>
          <w:sz w:val="22"/>
          <w:szCs w:val="22"/>
        </w:rPr>
        <w:t xml:space="preserve">in response to </w:t>
      </w:r>
      <w:r w:rsidR="00E612D7">
        <w:rPr>
          <w:rFonts w:asciiTheme="minorHAnsi" w:hAnsiTheme="minorHAnsi"/>
          <w:i/>
          <w:sz w:val="22"/>
          <w:szCs w:val="22"/>
        </w:rPr>
        <w:t xml:space="preserve">a </w:t>
      </w:r>
      <w:r w:rsidR="003E7C30">
        <w:rPr>
          <w:rFonts w:asciiTheme="minorHAnsi" w:hAnsiTheme="minorHAnsi"/>
          <w:i/>
          <w:sz w:val="22"/>
          <w:szCs w:val="22"/>
        </w:rPr>
        <w:t>Request for</w:t>
      </w:r>
      <w:r w:rsidR="00F921E2">
        <w:rPr>
          <w:rFonts w:asciiTheme="minorHAnsi" w:hAnsiTheme="minorHAnsi"/>
          <w:i/>
          <w:sz w:val="22"/>
          <w:szCs w:val="22"/>
        </w:rPr>
        <w:t xml:space="preserve"> Information </w:t>
      </w:r>
      <w:r w:rsidR="00E612D7">
        <w:rPr>
          <w:rFonts w:asciiTheme="minorHAnsi" w:hAnsiTheme="minorHAnsi"/>
          <w:i/>
          <w:sz w:val="22"/>
          <w:szCs w:val="22"/>
        </w:rPr>
        <w:t>p</w:t>
      </w:r>
      <w:r w:rsidR="00F921E2">
        <w:rPr>
          <w:rFonts w:asciiTheme="minorHAnsi" w:hAnsiTheme="minorHAnsi"/>
          <w:i/>
          <w:sz w:val="22"/>
          <w:szCs w:val="22"/>
        </w:rPr>
        <w:t>ublished in the Federal Register</w:t>
      </w:r>
    </w:p>
    <w:p w14:paraId="1EADDF9E" w14:textId="77777777" w:rsidR="00A87E67" w:rsidRDefault="00A87E67" w:rsidP="00A87E67">
      <w:pPr>
        <w:pStyle w:val="Title"/>
        <w:jc w:val="center"/>
        <w:rPr>
          <w:rFonts w:asciiTheme="minorHAnsi" w:hAnsiTheme="minorHAnsi"/>
          <w:i/>
          <w:sz w:val="22"/>
          <w:szCs w:val="22"/>
        </w:rPr>
      </w:pPr>
    </w:p>
    <w:p w14:paraId="53EC3A66" w14:textId="77777777" w:rsidR="00607EEE" w:rsidRDefault="00607EEE" w:rsidP="00D44198">
      <w:pPr>
        <w:pStyle w:val="Heading2"/>
        <w:rPr>
          <w:rFonts w:asciiTheme="minorHAnsi" w:hAnsiTheme="minorHAnsi"/>
          <w:sz w:val="22"/>
          <w:szCs w:val="22"/>
        </w:rPr>
      </w:pPr>
    </w:p>
    <w:p w14:paraId="01353B87" w14:textId="77777777" w:rsidR="00FD3120" w:rsidRPr="00C914B1" w:rsidRDefault="00FD3120" w:rsidP="00D44198">
      <w:pPr>
        <w:pStyle w:val="Heading2"/>
        <w:rPr>
          <w:rFonts w:asciiTheme="minorHAnsi" w:hAnsiTheme="minorHAnsi"/>
          <w:sz w:val="22"/>
          <w:szCs w:val="22"/>
        </w:rPr>
      </w:pPr>
      <w:r w:rsidRPr="00C914B1">
        <w:rPr>
          <w:rFonts w:asciiTheme="minorHAnsi" w:hAnsiTheme="minorHAnsi"/>
          <w:sz w:val="22"/>
          <w:szCs w:val="22"/>
        </w:rPr>
        <w:t>Introduction</w:t>
      </w:r>
    </w:p>
    <w:p w14:paraId="5EEE90C8" w14:textId="77777777" w:rsidR="00FD3120" w:rsidRPr="00C914B1" w:rsidRDefault="00FD3120" w:rsidP="00220818">
      <w:pPr>
        <w:rPr>
          <w:sz w:val="22"/>
          <w:szCs w:val="22"/>
        </w:rPr>
      </w:pPr>
    </w:p>
    <w:p w14:paraId="22E1A7D5" w14:textId="37791DD9" w:rsidR="000C3179" w:rsidRPr="00880F31" w:rsidRDefault="000C3179" w:rsidP="00880F31">
      <w:pPr>
        <w:rPr>
          <w:sz w:val="22"/>
          <w:szCs w:val="22"/>
        </w:rPr>
      </w:pPr>
      <w:r w:rsidRPr="00C914B1">
        <w:rPr>
          <w:sz w:val="22"/>
          <w:szCs w:val="22"/>
        </w:rPr>
        <w:t>We must improve the opportunity to learn for people of all ages</w:t>
      </w:r>
      <w:r w:rsidR="00380126" w:rsidRPr="00C914B1">
        <w:rPr>
          <w:sz w:val="22"/>
          <w:szCs w:val="22"/>
        </w:rPr>
        <w:t>,</w:t>
      </w:r>
      <w:r w:rsidRPr="00C914B1">
        <w:rPr>
          <w:sz w:val="22"/>
          <w:szCs w:val="22"/>
        </w:rPr>
        <w:t xml:space="preserve"> </w:t>
      </w:r>
      <w:r w:rsidR="00967A53" w:rsidRPr="00707625">
        <w:rPr>
          <w:sz w:val="22"/>
          <w:szCs w:val="22"/>
        </w:rPr>
        <w:t>ensuring</w:t>
      </w:r>
      <w:r w:rsidRPr="00C914B1">
        <w:rPr>
          <w:sz w:val="22"/>
          <w:szCs w:val="22"/>
        </w:rPr>
        <w:t xml:space="preserve"> quality and expanding access to underserved individuals and populations</w:t>
      </w:r>
      <w:r w:rsidR="00B86D44" w:rsidRPr="00C914B1">
        <w:rPr>
          <w:sz w:val="22"/>
          <w:szCs w:val="22"/>
        </w:rPr>
        <w:t>.</w:t>
      </w:r>
      <w:r w:rsidR="00C55A45">
        <w:rPr>
          <w:sz w:val="22"/>
          <w:szCs w:val="22"/>
        </w:rPr>
        <w:t xml:space="preserve"> </w:t>
      </w:r>
      <w:r w:rsidR="00B86D44" w:rsidRPr="00C914B1">
        <w:rPr>
          <w:sz w:val="22"/>
          <w:szCs w:val="22"/>
        </w:rPr>
        <w:t xml:space="preserve">As a </w:t>
      </w:r>
      <w:r w:rsidR="00082340">
        <w:rPr>
          <w:sz w:val="22"/>
          <w:szCs w:val="22"/>
        </w:rPr>
        <w:t>capitalist democracy</w:t>
      </w:r>
      <w:r w:rsidR="00B86D44" w:rsidRPr="00C914B1">
        <w:rPr>
          <w:sz w:val="22"/>
          <w:szCs w:val="22"/>
        </w:rPr>
        <w:t xml:space="preserve"> with a deep commitment to public education, we have an obligation to prepare all Americans </w:t>
      </w:r>
      <w:r w:rsidR="00730AB5">
        <w:rPr>
          <w:sz w:val="22"/>
          <w:szCs w:val="22"/>
        </w:rPr>
        <w:t>to be successful</w:t>
      </w:r>
      <w:r w:rsidR="00F921E2">
        <w:rPr>
          <w:sz w:val="22"/>
          <w:szCs w:val="22"/>
        </w:rPr>
        <w:t xml:space="preserve"> w</w:t>
      </w:r>
      <w:r w:rsidR="00380126" w:rsidRPr="00880F31">
        <w:rPr>
          <w:sz w:val="22"/>
          <w:szCs w:val="22"/>
        </w:rPr>
        <w:t>orkers and entrepreneurs in a highly</w:t>
      </w:r>
      <w:r w:rsidR="00E612D7">
        <w:rPr>
          <w:sz w:val="22"/>
          <w:szCs w:val="22"/>
        </w:rPr>
        <w:t>-</w:t>
      </w:r>
      <w:r w:rsidR="00380126" w:rsidRPr="00880F31">
        <w:rPr>
          <w:sz w:val="22"/>
          <w:szCs w:val="22"/>
        </w:rPr>
        <w:t>competitive 21</w:t>
      </w:r>
      <w:r w:rsidR="00380126" w:rsidRPr="00880F31">
        <w:rPr>
          <w:sz w:val="22"/>
          <w:szCs w:val="22"/>
          <w:vertAlign w:val="superscript"/>
        </w:rPr>
        <w:t>st</w:t>
      </w:r>
      <w:r w:rsidR="00380126" w:rsidRPr="00880F31">
        <w:rPr>
          <w:sz w:val="22"/>
          <w:szCs w:val="22"/>
        </w:rPr>
        <w:t xml:space="preserve"> </w:t>
      </w:r>
      <w:r w:rsidR="00E612D7">
        <w:rPr>
          <w:sz w:val="22"/>
          <w:szCs w:val="22"/>
        </w:rPr>
        <w:t>c</w:t>
      </w:r>
      <w:r w:rsidR="00380126" w:rsidRPr="00880F31">
        <w:rPr>
          <w:sz w:val="22"/>
          <w:szCs w:val="22"/>
        </w:rPr>
        <w:t>entury economy</w:t>
      </w:r>
      <w:r w:rsidR="00F921E2">
        <w:rPr>
          <w:sz w:val="22"/>
          <w:szCs w:val="22"/>
        </w:rPr>
        <w:t>, i</w:t>
      </w:r>
      <w:r w:rsidR="00380126" w:rsidRPr="00880F31">
        <w:rPr>
          <w:sz w:val="22"/>
          <w:szCs w:val="22"/>
        </w:rPr>
        <w:t>nformed</w:t>
      </w:r>
      <w:r w:rsidR="00F921E2">
        <w:rPr>
          <w:sz w:val="22"/>
          <w:szCs w:val="22"/>
        </w:rPr>
        <w:t xml:space="preserve"> and e</w:t>
      </w:r>
      <w:r w:rsidR="00380126" w:rsidRPr="00880F31">
        <w:rPr>
          <w:sz w:val="22"/>
          <w:szCs w:val="22"/>
        </w:rPr>
        <w:t>ngaged citizens in diverse communities tackling tough public problems</w:t>
      </w:r>
      <w:r w:rsidR="00F921E2">
        <w:rPr>
          <w:sz w:val="22"/>
          <w:szCs w:val="22"/>
        </w:rPr>
        <w:t>, and l</w:t>
      </w:r>
      <w:r w:rsidR="00880F31" w:rsidRPr="00880F31">
        <w:rPr>
          <w:sz w:val="22"/>
          <w:szCs w:val="22"/>
        </w:rPr>
        <w:t>ifelong</w:t>
      </w:r>
      <w:r w:rsidR="00B86D44" w:rsidRPr="00880F31">
        <w:rPr>
          <w:sz w:val="22"/>
          <w:szCs w:val="22"/>
        </w:rPr>
        <w:t xml:space="preserve"> learners in a world that is</w:t>
      </w:r>
      <w:r w:rsidR="00380126" w:rsidRPr="00880F31">
        <w:rPr>
          <w:sz w:val="22"/>
          <w:szCs w:val="22"/>
        </w:rPr>
        <w:t xml:space="preserve"> increasingly interconnected</w:t>
      </w:r>
      <w:r w:rsidR="00B86D44" w:rsidRPr="00880F31">
        <w:rPr>
          <w:sz w:val="22"/>
          <w:szCs w:val="22"/>
        </w:rPr>
        <w:t xml:space="preserve"> and fast</w:t>
      </w:r>
      <w:r w:rsidR="00F921E2">
        <w:rPr>
          <w:sz w:val="22"/>
          <w:szCs w:val="22"/>
        </w:rPr>
        <w:t>-</w:t>
      </w:r>
      <w:r w:rsidR="00B86D44" w:rsidRPr="00880F31">
        <w:rPr>
          <w:sz w:val="22"/>
          <w:szCs w:val="22"/>
        </w:rPr>
        <w:t>changing</w:t>
      </w:r>
      <w:r w:rsidRPr="00880F31">
        <w:rPr>
          <w:sz w:val="22"/>
          <w:szCs w:val="22"/>
        </w:rPr>
        <w:t>.</w:t>
      </w:r>
      <w:r w:rsidR="00C55A45">
        <w:rPr>
          <w:sz w:val="22"/>
          <w:szCs w:val="22"/>
        </w:rPr>
        <w:t xml:space="preserve"> </w:t>
      </w:r>
      <w:r w:rsidR="00C429A7" w:rsidRPr="00880F31">
        <w:rPr>
          <w:sz w:val="22"/>
          <w:szCs w:val="22"/>
        </w:rPr>
        <w:t>While the challenge is daunting, n</w:t>
      </w:r>
      <w:r w:rsidR="00380126" w:rsidRPr="00880F31">
        <w:rPr>
          <w:sz w:val="22"/>
          <w:szCs w:val="22"/>
        </w:rPr>
        <w:t>ow, more than ever</w:t>
      </w:r>
      <w:r w:rsidR="00B86D44" w:rsidRPr="00880F31">
        <w:rPr>
          <w:sz w:val="22"/>
          <w:szCs w:val="22"/>
        </w:rPr>
        <w:t xml:space="preserve"> before</w:t>
      </w:r>
      <w:r w:rsidR="00380126" w:rsidRPr="00880F31">
        <w:rPr>
          <w:sz w:val="22"/>
          <w:szCs w:val="22"/>
        </w:rPr>
        <w:t xml:space="preserve">, the path forward is within our </w:t>
      </w:r>
      <w:r w:rsidR="00880F31" w:rsidRPr="00880F31">
        <w:rPr>
          <w:sz w:val="22"/>
          <w:szCs w:val="22"/>
        </w:rPr>
        <w:t>s</w:t>
      </w:r>
      <w:r w:rsidR="00880F31">
        <w:rPr>
          <w:sz w:val="22"/>
          <w:szCs w:val="22"/>
        </w:rPr>
        <w:t>ights</w:t>
      </w:r>
      <w:r w:rsidR="00380126" w:rsidRPr="00880F31">
        <w:rPr>
          <w:sz w:val="22"/>
          <w:szCs w:val="22"/>
        </w:rPr>
        <w:t xml:space="preserve">. </w:t>
      </w:r>
    </w:p>
    <w:p w14:paraId="4DB7E356" w14:textId="77777777" w:rsidR="007926E2" w:rsidRPr="00C914B1" w:rsidRDefault="007926E2" w:rsidP="00220818">
      <w:pPr>
        <w:rPr>
          <w:sz w:val="22"/>
          <w:szCs w:val="22"/>
        </w:rPr>
      </w:pPr>
    </w:p>
    <w:p w14:paraId="275C040D" w14:textId="2462FC9E" w:rsidR="00455622" w:rsidRPr="00C914B1" w:rsidRDefault="000C3179" w:rsidP="00220818">
      <w:pPr>
        <w:rPr>
          <w:sz w:val="22"/>
          <w:szCs w:val="22"/>
        </w:rPr>
      </w:pPr>
      <w:r w:rsidRPr="00C914B1">
        <w:rPr>
          <w:sz w:val="22"/>
          <w:szCs w:val="22"/>
        </w:rPr>
        <w:t>Digital learning</w:t>
      </w:r>
      <w:r w:rsidR="00E612D7">
        <w:rPr>
          <w:sz w:val="22"/>
          <w:szCs w:val="22"/>
        </w:rPr>
        <w:t xml:space="preserve">, </w:t>
      </w:r>
      <w:r w:rsidR="00380126" w:rsidRPr="00C914B1">
        <w:rPr>
          <w:sz w:val="22"/>
          <w:szCs w:val="22"/>
        </w:rPr>
        <w:t>f</w:t>
      </w:r>
      <w:r w:rsidR="00B86D44" w:rsidRPr="00C914B1">
        <w:rPr>
          <w:sz w:val="22"/>
          <w:szCs w:val="22"/>
        </w:rPr>
        <w:t>acilitated by excellent educators</w:t>
      </w:r>
      <w:r w:rsidR="00D43DA4" w:rsidRPr="00C914B1">
        <w:rPr>
          <w:sz w:val="22"/>
          <w:szCs w:val="22"/>
        </w:rPr>
        <w:t xml:space="preserve"> and </w:t>
      </w:r>
      <w:r w:rsidR="00380126" w:rsidRPr="00C914B1">
        <w:rPr>
          <w:sz w:val="22"/>
          <w:szCs w:val="22"/>
        </w:rPr>
        <w:t>p</w:t>
      </w:r>
      <w:r w:rsidR="00B86D44" w:rsidRPr="00C914B1">
        <w:rPr>
          <w:sz w:val="22"/>
          <w:szCs w:val="22"/>
        </w:rPr>
        <w:t>owerful instructional technologies</w:t>
      </w:r>
      <w:r w:rsidR="00E612D7">
        <w:rPr>
          <w:sz w:val="22"/>
          <w:szCs w:val="22"/>
        </w:rPr>
        <w:t xml:space="preserve">, </w:t>
      </w:r>
      <w:r w:rsidRPr="00C914B1">
        <w:rPr>
          <w:sz w:val="22"/>
          <w:szCs w:val="22"/>
        </w:rPr>
        <w:t>promises to improve equity, increase engagement</w:t>
      </w:r>
      <w:r w:rsidR="00E641C4">
        <w:rPr>
          <w:sz w:val="22"/>
          <w:szCs w:val="22"/>
        </w:rPr>
        <w:t>,</w:t>
      </w:r>
      <w:r w:rsidRPr="00C914B1">
        <w:rPr>
          <w:sz w:val="22"/>
          <w:szCs w:val="22"/>
        </w:rPr>
        <w:t xml:space="preserve"> and personalize learning</w:t>
      </w:r>
      <w:r w:rsidR="00380126" w:rsidRPr="00C914B1">
        <w:rPr>
          <w:sz w:val="22"/>
          <w:szCs w:val="22"/>
        </w:rPr>
        <w:t>. It can</w:t>
      </w:r>
      <w:r w:rsidRPr="00C914B1">
        <w:rPr>
          <w:sz w:val="22"/>
          <w:szCs w:val="22"/>
        </w:rPr>
        <w:t xml:space="preserve"> creat</w:t>
      </w:r>
      <w:r w:rsidR="00380126" w:rsidRPr="00C914B1">
        <w:rPr>
          <w:sz w:val="22"/>
          <w:szCs w:val="22"/>
        </w:rPr>
        <w:t>e</w:t>
      </w:r>
      <w:r w:rsidRPr="00C914B1">
        <w:rPr>
          <w:sz w:val="22"/>
          <w:szCs w:val="22"/>
        </w:rPr>
        <w:t xml:space="preserve"> new efficiencies and advanc</w:t>
      </w:r>
      <w:r w:rsidR="00380126" w:rsidRPr="00C914B1">
        <w:rPr>
          <w:sz w:val="22"/>
          <w:szCs w:val="22"/>
        </w:rPr>
        <w:t>e</w:t>
      </w:r>
      <w:r w:rsidRPr="00C914B1">
        <w:rPr>
          <w:sz w:val="22"/>
          <w:szCs w:val="22"/>
        </w:rPr>
        <w:t xml:space="preserve"> productivity</w:t>
      </w:r>
      <w:r w:rsidR="00B86D44" w:rsidRPr="00C914B1">
        <w:rPr>
          <w:sz w:val="22"/>
          <w:szCs w:val="22"/>
        </w:rPr>
        <w:t xml:space="preserve">, empowering </w:t>
      </w:r>
      <w:r w:rsidR="00D43DA4" w:rsidRPr="00C914B1">
        <w:rPr>
          <w:sz w:val="22"/>
          <w:szCs w:val="22"/>
        </w:rPr>
        <w:t xml:space="preserve">learners and </w:t>
      </w:r>
      <w:r w:rsidR="00B86D44" w:rsidRPr="00C914B1">
        <w:rPr>
          <w:sz w:val="22"/>
          <w:szCs w:val="22"/>
        </w:rPr>
        <w:t>educators to use their time most effectively</w:t>
      </w:r>
      <w:r w:rsidRPr="00C914B1">
        <w:rPr>
          <w:sz w:val="22"/>
          <w:szCs w:val="22"/>
        </w:rPr>
        <w:t xml:space="preserve">. </w:t>
      </w:r>
      <w:r w:rsidR="00730AB5">
        <w:rPr>
          <w:sz w:val="22"/>
          <w:szCs w:val="22"/>
        </w:rPr>
        <w:t>M</w:t>
      </w:r>
      <w:r w:rsidRPr="00C914B1">
        <w:rPr>
          <w:sz w:val="22"/>
          <w:szCs w:val="22"/>
        </w:rPr>
        <w:t>athematics, language development</w:t>
      </w:r>
      <w:r w:rsidR="00B86D44" w:rsidRPr="00C914B1">
        <w:rPr>
          <w:sz w:val="22"/>
          <w:szCs w:val="22"/>
        </w:rPr>
        <w:t xml:space="preserve"> and </w:t>
      </w:r>
      <w:r w:rsidRPr="00C914B1">
        <w:rPr>
          <w:sz w:val="22"/>
          <w:szCs w:val="22"/>
        </w:rPr>
        <w:t>literacy</w:t>
      </w:r>
      <w:r w:rsidR="00282F2C" w:rsidRPr="00C914B1">
        <w:rPr>
          <w:sz w:val="22"/>
          <w:szCs w:val="22"/>
        </w:rPr>
        <w:t>,</w:t>
      </w:r>
      <w:r w:rsidRPr="00C914B1">
        <w:rPr>
          <w:sz w:val="22"/>
          <w:szCs w:val="22"/>
        </w:rPr>
        <w:t xml:space="preserve"> </w:t>
      </w:r>
      <w:r w:rsidR="00730AB5">
        <w:rPr>
          <w:sz w:val="22"/>
          <w:szCs w:val="22"/>
        </w:rPr>
        <w:t xml:space="preserve">deeper learning competencies, </w:t>
      </w:r>
      <w:r w:rsidRPr="00C914B1">
        <w:rPr>
          <w:sz w:val="22"/>
          <w:szCs w:val="22"/>
        </w:rPr>
        <w:t xml:space="preserve">and skills of all types can be supported with the smart use of technology. </w:t>
      </w:r>
    </w:p>
    <w:p w14:paraId="7E2F2F56" w14:textId="77777777" w:rsidR="00241302" w:rsidRPr="00C914B1" w:rsidRDefault="00241302" w:rsidP="00220818">
      <w:pPr>
        <w:rPr>
          <w:sz w:val="22"/>
          <w:szCs w:val="22"/>
        </w:rPr>
      </w:pPr>
    </w:p>
    <w:p w14:paraId="5ACFD4BF" w14:textId="53390AF0" w:rsidR="00F21E99" w:rsidRDefault="00730AB5" w:rsidP="00F21E99">
      <w:pPr>
        <w:rPr>
          <w:sz w:val="22"/>
          <w:szCs w:val="22"/>
        </w:rPr>
      </w:pPr>
      <w:r w:rsidRPr="00FF5320">
        <w:rPr>
          <w:sz w:val="22"/>
          <w:szCs w:val="22"/>
        </w:rPr>
        <w:t xml:space="preserve">While digital technologies have </w:t>
      </w:r>
      <w:r w:rsidR="00F21E99" w:rsidRPr="00FF5320">
        <w:rPr>
          <w:sz w:val="22"/>
          <w:szCs w:val="22"/>
        </w:rPr>
        <w:t xml:space="preserve">already </w:t>
      </w:r>
      <w:r w:rsidRPr="00FF5320">
        <w:rPr>
          <w:sz w:val="22"/>
          <w:szCs w:val="22"/>
        </w:rPr>
        <w:t>improved learning opportunities for select classrooms and schools, they have failed to deliver the</w:t>
      </w:r>
      <w:r w:rsidR="00E612D7">
        <w:rPr>
          <w:sz w:val="22"/>
          <w:szCs w:val="22"/>
        </w:rPr>
        <w:t xml:space="preserve"> same</w:t>
      </w:r>
      <w:r w:rsidRPr="00FF5320">
        <w:rPr>
          <w:sz w:val="22"/>
          <w:szCs w:val="22"/>
        </w:rPr>
        <w:t xml:space="preserve"> systemic and revolutionary impacts for students and teachers that we’ve seen in other sectors. </w:t>
      </w:r>
      <w:r w:rsidR="00F21E99" w:rsidRPr="00C914B1">
        <w:rPr>
          <w:sz w:val="22"/>
          <w:szCs w:val="22"/>
        </w:rPr>
        <w:t>Too often, technology in schools has been layered on top of</w:t>
      </w:r>
      <w:r w:rsidR="00E612D7">
        <w:rPr>
          <w:sz w:val="22"/>
          <w:szCs w:val="22"/>
        </w:rPr>
        <w:t>,</w:t>
      </w:r>
      <w:r w:rsidR="00F21E99" w:rsidRPr="00C914B1">
        <w:rPr>
          <w:sz w:val="22"/>
          <w:szCs w:val="22"/>
        </w:rPr>
        <w:t xml:space="preserve"> </w:t>
      </w:r>
      <w:r w:rsidR="00F21E99">
        <w:rPr>
          <w:sz w:val="22"/>
          <w:szCs w:val="22"/>
        </w:rPr>
        <w:t>or simply replicated</w:t>
      </w:r>
      <w:r w:rsidR="00E612D7">
        <w:rPr>
          <w:sz w:val="22"/>
          <w:szCs w:val="22"/>
        </w:rPr>
        <w:t>,</w:t>
      </w:r>
      <w:r w:rsidR="00F21E99">
        <w:rPr>
          <w:sz w:val="22"/>
          <w:szCs w:val="22"/>
        </w:rPr>
        <w:t xml:space="preserve"> </w:t>
      </w:r>
      <w:r w:rsidR="00F21E99" w:rsidRPr="00C914B1">
        <w:rPr>
          <w:sz w:val="22"/>
          <w:szCs w:val="22"/>
        </w:rPr>
        <w:t>existing instructional processes</w:t>
      </w:r>
      <w:r w:rsidR="00F21E99">
        <w:rPr>
          <w:sz w:val="22"/>
          <w:szCs w:val="22"/>
        </w:rPr>
        <w:t>. A</w:t>
      </w:r>
      <w:r w:rsidR="00F21E99" w:rsidRPr="00C914B1">
        <w:rPr>
          <w:sz w:val="22"/>
          <w:szCs w:val="22"/>
        </w:rPr>
        <w:t>nd</w:t>
      </w:r>
      <w:r w:rsidR="00F21E99">
        <w:rPr>
          <w:sz w:val="22"/>
          <w:szCs w:val="22"/>
        </w:rPr>
        <w:t xml:space="preserve"> schools </w:t>
      </w:r>
      <w:r w:rsidR="00F21E99" w:rsidRPr="00FF5320">
        <w:rPr>
          <w:sz w:val="22"/>
          <w:szCs w:val="22"/>
        </w:rPr>
        <w:t xml:space="preserve">have struggled with </w:t>
      </w:r>
      <w:r w:rsidR="00E612D7">
        <w:rPr>
          <w:sz w:val="22"/>
          <w:szCs w:val="22"/>
        </w:rPr>
        <w:t xml:space="preserve">a </w:t>
      </w:r>
      <w:r w:rsidR="00F21E99" w:rsidRPr="00FF5320">
        <w:rPr>
          <w:sz w:val="22"/>
          <w:szCs w:val="22"/>
        </w:rPr>
        <w:t xml:space="preserve">lack of connectivity, expensive and hard-to-manage hardware and software, and a lack of high-quality digital content aligned to academic standards. </w:t>
      </w:r>
    </w:p>
    <w:p w14:paraId="29C0A0A5" w14:textId="77777777" w:rsidR="00C55A45" w:rsidRDefault="00C55A45" w:rsidP="00F21E99">
      <w:pPr>
        <w:rPr>
          <w:sz w:val="22"/>
          <w:szCs w:val="22"/>
        </w:rPr>
      </w:pPr>
    </w:p>
    <w:p w14:paraId="5DDFB548" w14:textId="77777777" w:rsidR="00C55A45" w:rsidRPr="00FF5320" w:rsidRDefault="00C55A45" w:rsidP="00F21E99">
      <w:pPr>
        <w:rPr>
          <w:sz w:val="22"/>
          <w:szCs w:val="22"/>
        </w:rPr>
      </w:pPr>
    </w:p>
    <w:p w14:paraId="74FA1F0F" w14:textId="77777777" w:rsidR="00241302" w:rsidRPr="00C914B1" w:rsidRDefault="00241302" w:rsidP="00241302">
      <w:pPr>
        <w:rPr>
          <w:sz w:val="22"/>
          <w:szCs w:val="22"/>
        </w:rPr>
      </w:pPr>
    </w:p>
    <w:p w14:paraId="4093EA86" w14:textId="24B9D2AC" w:rsidR="00F21E99" w:rsidRDefault="00241302" w:rsidP="00220818">
      <w:pPr>
        <w:rPr>
          <w:sz w:val="22"/>
          <w:szCs w:val="22"/>
        </w:rPr>
      </w:pPr>
      <w:r w:rsidRPr="00C914B1">
        <w:rPr>
          <w:sz w:val="22"/>
          <w:szCs w:val="22"/>
        </w:rPr>
        <w:lastRenderedPageBreak/>
        <w:t>A confluence of factors is creating the potential for things to be different</w:t>
      </w:r>
      <w:r w:rsidR="00F21E99">
        <w:rPr>
          <w:sz w:val="22"/>
          <w:szCs w:val="22"/>
        </w:rPr>
        <w:t xml:space="preserve">: </w:t>
      </w:r>
    </w:p>
    <w:p w14:paraId="24EDF738" w14:textId="54EA95AA" w:rsidR="00F21E99" w:rsidRDefault="00F21E99" w:rsidP="00497C05">
      <w:pPr>
        <w:pStyle w:val="ListParagraph"/>
        <w:numPr>
          <w:ilvl w:val="0"/>
          <w:numId w:val="30"/>
        </w:numPr>
        <w:rPr>
          <w:sz w:val="22"/>
          <w:szCs w:val="22"/>
        </w:rPr>
      </w:pPr>
      <w:r>
        <w:rPr>
          <w:sz w:val="22"/>
          <w:szCs w:val="22"/>
        </w:rPr>
        <w:t>F</w:t>
      </w:r>
      <w:r w:rsidR="00241302" w:rsidRPr="00497C05">
        <w:rPr>
          <w:sz w:val="22"/>
          <w:szCs w:val="22"/>
        </w:rPr>
        <w:t>aster, more comprehensive broadband Intern</w:t>
      </w:r>
      <w:r w:rsidR="000A24CD">
        <w:rPr>
          <w:sz w:val="22"/>
          <w:szCs w:val="22"/>
        </w:rPr>
        <w:t>et access in and out of schools.</w:t>
      </w:r>
      <w:r w:rsidR="00241302" w:rsidRPr="00497C05">
        <w:rPr>
          <w:sz w:val="22"/>
          <w:szCs w:val="22"/>
        </w:rPr>
        <w:t xml:space="preserve"> </w:t>
      </w:r>
    </w:p>
    <w:p w14:paraId="60ACCF91" w14:textId="32B3DF2C" w:rsidR="00F21E99" w:rsidRDefault="00F21E99" w:rsidP="00497C05">
      <w:pPr>
        <w:pStyle w:val="ListParagraph"/>
        <w:numPr>
          <w:ilvl w:val="0"/>
          <w:numId w:val="30"/>
        </w:numPr>
        <w:rPr>
          <w:sz w:val="22"/>
          <w:szCs w:val="22"/>
        </w:rPr>
      </w:pPr>
      <w:r>
        <w:rPr>
          <w:sz w:val="22"/>
          <w:szCs w:val="22"/>
        </w:rPr>
        <w:t>L</w:t>
      </w:r>
      <w:r w:rsidR="00241302" w:rsidRPr="00497C05">
        <w:rPr>
          <w:sz w:val="22"/>
          <w:szCs w:val="22"/>
        </w:rPr>
        <w:t xml:space="preserve">ower price points for new </w:t>
      </w:r>
      <w:r w:rsidR="00766384" w:rsidRPr="00497C05">
        <w:rPr>
          <w:sz w:val="22"/>
          <w:szCs w:val="22"/>
        </w:rPr>
        <w:t>more powerful and easier</w:t>
      </w:r>
      <w:r w:rsidR="003B6C6D">
        <w:rPr>
          <w:sz w:val="22"/>
          <w:szCs w:val="22"/>
        </w:rPr>
        <w:t>-</w:t>
      </w:r>
      <w:r w:rsidR="00766384" w:rsidRPr="00497C05">
        <w:rPr>
          <w:sz w:val="22"/>
          <w:szCs w:val="22"/>
        </w:rPr>
        <w:t>to</w:t>
      </w:r>
      <w:r w:rsidR="003B6C6D">
        <w:rPr>
          <w:sz w:val="22"/>
          <w:szCs w:val="22"/>
        </w:rPr>
        <w:t>-</w:t>
      </w:r>
      <w:r w:rsidR="00766384" w:rsidRPr="00497C05">
        <w:rPr>
          <w:sz w:val="22"/>
          <w:szCs w:val="22"/>
        </w:rPr>
        <w:t xml:space="preserve">use </w:t>
      </w:r>
      <w:r w:rsidR="000A24CD">
        <w:rPr>
          <w:sz w:val="22"/>
          <w:szCs w:val="22"/>
        </w:rPr>
        <w:t>mobile devices.</w:t>
      </w:r>
    </w:p>
    <w:p w14:paraId="0D1510DE" w14:textId="4FF97329" w:rsidR="00F21E99" w:rsidRDefault="00F21E99" w:rsidP="00497C05">
      <w:pPr>
        <w:pStyle w:val="ListParagraph"/>
        <w:numPr>
          <w:ilvl w:val="0"/>
          <w:numId w:val="30"/>
        </w:numPr>
        <w:rPr>
          <w:sz w:val="22"/>
          <w:szCs w:val="22"/>
        </w:rPr>
      </w:pPr>
      <w:r>
        <w:rPr>
          <w:sz w:val="22"/>
          <w:szCs w:val="22"/>
        </w:rPr>
        <w:t>A</w:t>
      </w:r>
      <w:r w:rsidR="00241302" w:rsidRPr="00497C05">
        <w:rPr>
          <w:sz w:val="22"/>
          <w:szCs w:val="22"/>
        </w:rPr>
        <w:t xml:space="preserve"> proliferation of lightweight, </w:t>
      </w:r>
      <w:r w:rsidR="00497C05">
        <w:rPr>
          <w:sz w:val="22"/>
          <w:szCs w:val="22"/>
        </w:rPr>
        <w:t>W</w:t>
      </w:r>
      <w:r w:rsidR="000A24CD">
        <w:rPr>
          <w:sz w:val="22"/>
          <w:szCs w:val="22"/>
        </w:rPr>
        <w:t>eb-based software applications.</w:t>
      </w:r>
      <w:r w:rsidR="00241302" w:rsidRPr="00497C05">
        <w:rPr>
          <w:sz w:val="22"/>
          <w:szCs w:val="22"/>
        </w:rPr>
        <w:t xml:space="preserve"> </w:t>
      </w:r>
    </w:p>
    <w:p w14:paraId="01AC872D" w14:textId="07971CFB" w:rsidR="00F21E99" w:rsidRDefault="00241302" w:rsidP="00497C05">
      <w:pPr>
        <w:pStyle w:val="ListParagraph"/>
        <w:numPr>
          <w:ilvl w:val="0"/>
          <w:numId w:val="30"/>
        </w:numPr>
        <w:rPr>
          <w:sz w:val="22"/>
          <w:szCs w:val="22"/>
        </w:rPr>
      </w:pPr>
      <w:r w:rsidRPr="00497C05">
        <w:rPr>
          <w:sz w:val="22"/>
          <w:szCs w:val="22"/>
        </w:rPr>
        <w:t>APIs to simplify account set</w:t>
      </w:r>
      <w:r w:rsidR="00642436">
        <w:rPr>
          <w:sz w:val="22"/>
          <w:szCs w:val="22"/>
        </w:rPr>
        <w:t xml:space="preserve"> </w:t>
      </w:r>
      <w:r w:rsidRPr="00497C05">
        <w:rPr>
          <w:sz w:val="22"/>
          <w:szCs w:val="22"/>
        </w:rPr>
        <w:t>up and data in</w:t>
      </w:r>
      <w:r w:rsidR="000A24CD">
        <w:rPr>
          <w:sz w:val="22"/>
          <w:szCs w:val="22"/>
        </w:rPr>
        <w:t>tegration from multiple sources.</w:t>
      </w:r>
    </w:p>
    <w:p w14:paraId="638496D3" w14:textId="126442DD" w:rsidR="00F21E99" w:rsidRDefault="00F21E99" w:rsidP="00497C05">
      <w:pPr>
        <w:pStyle w:val="ListParagraph"/>
        <w:numPr>
          <w:ilvl w:val="0"/>
          <w:numId w:val="30"/>
        </w:numPr>
        <w:rPr>
          <w:sz w:val="22"/>
          <w:szCs w:val="22"/>
        </w:rPr>
      </w:pPr>
      <w:r>
        <w:rPr>
          <w:sz w:val="22"/>
          <w:szCs w:val="22"/>
        </w:rPr>
        <w:t>A</w:t>
      </w:r>
      <w:r w:rsidR="00241302" w:rsidRPr="00497C05">
        <w:rPr>
          <w:sz w:val="22"/>
          <w:szCs w:val="22"/>
        </w:rPr>
        <w:t>n explosion of digital content</w:t>
      </w:r>
      <w:r w:rsidR="00082340">
        <w:rPr>
          <w:sz w:val="22"/>
          <w:szCs w:val="22"/>
        </w:rPr>
        <w:t>, tools, and resources</w:t>
      </w:r>
      <w:r w:rsidR="00241302" w:rsidRPr="00497C05">
        <w:rPr>
          <w:sz w:val="22"/>
          <w:szCs w:val="22"/>
        </w:rPr>
        <w:t xml:space="preserve"> </w:t>
      </w:r>
      <w:r>
        <w:rPr>
          <w:sz w:val="22"/>
          <w:szCs w:val="22"/>
        </w:rPr>
        <w:t>in a $7.9 billion market</w:t>
      </w:r>
      <w:r>
        <w:rPr>
          <w:rStyle w:val="FootnoteReference"/>
          <w:sz w:val="22"/>
          <w:szCs w:val="22"/>
        </w:rPr>
        <w:footnoteReference w:id="1"/>
      </w:r>
      <w:r>
        <w:rPr>
          <w:sz w:val="22"/>
          <w:szCs w:val="22"/>
        </w:rPr>
        <w:t xml:space="preserve"> </w:t>
      </w:r>
      <w:r w:rsidR="00241302" w:rsidRPr="00497C05">
        <w:rPr>
          <w:sz w:val="22"/>
          <w:szCs w:val="22"/>
        </w:rPr>
        <w:t xml:space="preserve">from open-source providers, start-ups, traditional publishers, and educators </w:t>
      </w:r>
      <w:r>
        <w:rPr>
          <w:sz w:val="22"/>
          <w:szCs w:val="22"/>
        </w:rPr>
        <w:t xml:space="preserve">themselves. </w:t>
      </w:r>
    </w:p>
    <w:p w14:paraId="08D738EF" w14:textId="77777777" w:rsidR="00F21E99" w:rsidRPr="00497C05" w:rsidRDefault="00F21E99" w:rsidP="00F21E99">
      <w:pPr>
        <w:rPr>
          <w:sz w:val="22"/>
          <w:szCs w:val="22"/>
        </w:rPr>
      </w:pPr>
    </w:p>
    <w:p w14:paraId="7337E150" w14:textId="76382ADF" w:rsidR="00241302" w:rsidRPr="00497C05" w:rsidRDefault="003B6C6D" w:rsidP="00F21E99">
      <w:pPr>
        <w:rPr>
          <w:sz w:val="22"/>
          <w:szCs w:val="22"/>
        </w:rPr>
      </w:pPr>
      <w:r>
        <w:rPr>
          <w:sz w:val="22"/>
          <w:szCs w:val="22"/>
        </w:rPr>
        <w:t xml:space="preserve">These developments </w:t>
      </w:r>
      <w:r w:rsidR="00241302" w:rsidRPr="00497C05">
        <w:rPr>
          <w:sz w:val="22"/>
          <w:szCs w:val="22"/>
        </w:rPr>
        <w:t>all create opportunities to rethink how students learn and teachers teach.</w:t>
      </w:r>
    </w:p>
    <w:p w14:paraId="18AB5C31" w14:textId="77777777" w:rsidR="00455622" w:rsidRPr="00C914B1" w:rsidRDefault="00455622" w:rsidP="00455622">
      <w:pPr>
        <w:rPr>
          <w:sz w:val="22"/>
          <w:szCs w:val="22"/>
        </w:rPr>
      </w:pPr>
    </w:p>
    <w:p w14:paraId="7F53AE8A" w14:textId="6F8B738C" w:rsidR="00455622" w:rsidRPr="00C914B1" w:rsidRDefault="00455622" w:rsidP="00455622">
      <w:pPr>
        <w:rPr>
          <w:sz w:val="22"/>
          <w:szCs w:val="22"/>
        </w:rPr>
      </w:pPr>
      <w:r w:rsidRPr="00766384">
        <w:rPr>
          <w:sz w:val="22"/>
          <w:szCs w:val="22"/>
        </w:rPr>
        <w:t>Traditionally, educational technology developers</w:t>
      </w:r>
      <w:r w:rsidR="00C429A7" w:rsidRPr="00766384">
        <w:rPr>
          <w:sz w:val="22"/>
          <w:szCs w:val="22"/>
        </w:rPr>
        <w:t xml:space="preserve"> </w:t>
      </w:r>
      <w:r w:rsidRPr="00766384">
        <w:rPr>
          <w:sz w:val="22"/>
          <w:szCs w:val="22"/>
        </w:rPr>
        <w:t>have taken an “if we buil</w:t>
      </w:r>
      <w:r w:rsidR="00861417" w:rsidRPr="00766384">
        <w:rPr>
          <w:sz w:val="22"/>
          <w:szCs w:val="22"/>
        </w:rPr>
        <w:t>d it, they will come” approach. P</w:t>
      </w:r>
      <w:r w:rsidRPr="00766384">
        <w:rPr>
          <w:sz w:val="22"/>
          <w:szCs w:val="22"/>
        </w:rPr>
        <w:t>roducts</w:t>
      </w:r>
      <w:r w:rsidR="00082340">
        <w:rPr>
          <w:sz w:val="22"/>
          <w:szCs w:val="22"/>
        </w:rPr>
        <w:t xml:space="preserve"> are pushed</w:t>
      </w:r>
      <w:r w:rsidR="00861171" w:rsidRPr="00766384">
        <w:rPr>
          <w:sz w:val="22"/>
          <w:szCs w:val="22"/>
        </w:rPr>
        <w:t xml:space="preserve"> into the market through various channels and sold using t</w:t>
      </w:r>
      <w:r w:rsidR="000C03D1" w:rsidRPr="00766384">
        <w:rPr>
          <w:sz w:val="22"/>
          <w:szCs w:val="22"/>
        </w:rPr>
        <w:t>raditional contracts with a</w:t>
      </w:r>
      <w:r w:rsidR="00C429A7" w:rsidRPr="00766384">
        <w:rPr>
          <w:sz w:val="22"/>
          <w:szCs w:val="22"/>
        </w:rPr>
        <w:t>n</w:t>
      </w:r>
      <w:r w:rsidR="000C03D1" w:rsidRPr="00766384">
        <w:rPr>
          <w:sz w:val="22"/>
          <w:szCs w:val="22"/>
        </w:rPr>
        <w:t xml:space="preserve"> individual state, district, or school. </w:t>
      </w:r>
      <w:r w:rsidR="00861171" w:rsidRPr="00766384">
        <w:rPr>
          <w:sz w:val="22"/>
          <w:szCs w:val="22"/>
        </w:rPr>
        <w:t>Firms are paid to provide a product, not to demonstrate results.</w:t>
      </w:r>
    </w:p>
    <w:p w14:paraId="15B359B5" w14:textId="77777777" w:rsidR="000C03D1" w:rsidRPr="00C914B1" w:rsidRDefault="000C03D1" w:rsidP="00455622">
      <w:pPr>
        <w:rPr>
          <w:sz w:val="22"/>
          <w:szCs w:val="22"/>
        </w:rPr>
      </w:pPr>
    </w:p>
    <w:p w14:paraId="4605EC24" w14:textId="13EFC3C6" w:rsidR="000C3179" w:rsidRPr="00C914B1" w:rsidRDefault="001849D5" w:rsidP="00220818">
      <w:pPr>
        <w:rPr>
          <w:sz w:val="22"/>
          <w:szCs w:val="22"/>
        </w:rPr>
      </w:pPr>
      <w:r>
        <w:rPr>
          <w:sz w:val="22"/>
          <w:szCs w:val="22"/>
        </w:rPr>
        <w:t xml:space="preserve">Digital Promise is </w:t>
      </w:r>
      <w:r w:rsidR="0027092F" w:rsidRPr="00C914B1">
        <w:rPr>
          <w:sz w:val="22"/>
          <w:szCs w:val="22"/>
        </w:rPr>
        <w:t>excited that the White House Office of Science and Technology Policy</w:t>
      </w:r>
      <w:r w:rsidR="00FF3480" w:rsidRPr="00C914B1">
        <w:rPr>
          <w:sz w:val="22"/>
          <w:szCs w:val="22"/>
        </w:rPr>
        <w:t xml:space="preserve"> (OSTP)</w:t>
      </w:r>
      <w:r w:rsidR="0027092F" w:rsidRPr="00C914B1">
        <w:rPr>
          <w:sz w:val="22"/>
          <w:szCs w:val="22"/>
        </w:rPr>
        <w:t xml:space="preserve"> is requesting comments on</w:t>
      </w:r>
      <w:r w:rsidR="000C03D1" w:rsidRPr="00C914B1">
        <w:rPr>
          <w:sz w:val="22"/>
          <w:szCs w:val="22"/>
        </w:rPr>
        <w:t xml:space="preserve"> pull mechanisms –</w:t>
      </w:r>
      <w:r w:rsidR="0027092F" w:rsidRPr="00C914B1">
        <w:rPr>
          <w:sz w:val="22"/>
          <w:szCs w:val="22"/>
        </w:rPr>
        <w:t xml:space="preserve"> policies </w:t>
      </w:r>
      <w:r w:rsidR="00D43DA4" w:rsidRPr="00C914B1">
        <w:rPr>
          <w:sz w:val="22"/>
          <w:szCs w:val="22"/>
        </w:rPr>
        <w:t xml:space="preserve">and practices </w:t>
      </w:r>
      <w:r w:rsidR="0027092F" w:rsidRPr="00C914B1">
        <w:rPr>
          <w:sz w:val="22"/>
          <w:szCs w:val="22"/>
        </w:rPr>
        <w:t xml:space="preserve">that can </w:t>
      </w:r>
      <w:r w:rsidR="000C03D1" w:rsidRPr="00C914B1">
        <w:rPr>
          <w:sz w:val="22"/>
          <w:szCs w:val="22"/>
        </w:rPr>
        <w:t xml:space="preserve">cultivate and </w:t>
      </w:r>
      <w:r w:rsidR="000F0350" w:rsidRPr="00C914B1">
        <w:rPr>
          <w:sz w:val="22"/>
          <w:szCs w:val="22"/>
        </w:rPr>
        <w:t xml:space="preserve">leverage smart demand </w:t>
      </w:r>
      <w:r w:rsidR="000C03D1" w:rsidRPr="00C914B1">
        <w:rPr>
          <w:sz w:val="22"/>
          <w:szCs w:val="22"/>
        </w:rPr>
        <w:t xml:space="preserve">– </w:t>
      </w:r>
      <w:r w:rsidR="000F0350" w:rsidRPr="00C914B1">
        <w:rPr>
          <w:sz w:val="22"/>
          <w:szCs w:val="22"/>
        </w:rPr>
        <w:t xml:space="preserve">to </w:t>
      </w:r>
      <w:r w:rsidR="0027092F" w:rsidRPr="00C914B1">
        <w:rPr>
          <w:sz w:val="22"/>
          <w:szCs w:val="22"/>
        </w:rPr>
        <w:t xml:space="preserve">spur the development, evaluation, and adoption of </w:t>
      </w:r>
      <w:r w:rsidR="000C3179" w:rsidRPr="00C914B1">
        <w:rPr>
          <w:sz w:val="22"/>
          <w:szCs w:val="22"/>
        </w:rPr>
        <w:t xml:space="preserve">advanced solutions to the </w:t>
      </w:r>
      <w:r w:rsidR="00766384">
        <w:rPr>
          <w:sz w:val="22"/>
          <w:szCs w:val="22"/>
        </w:rPr>
        <w:t>nation’s</w:t>
      </w:r>
      <w:r w:rsidR="00766384" w:rsidRPr="00C914B1">
        <w:rPr>
          <w:sz w:val="22"/>
          <w:szCs w:val="22"/>
        </w:rPr>
        <w:t xml:space="preserve"> </w:t>
      </w:r>
      <w:r w:rsidR="000C3179" w:rsidRPr="00C914B1">
        <w:rPr>
          <w:sz w:val="22"/>
          <w:szCs w:val="22"/>
        </w:rPr>
        <w:t xml:space="preserve">most pressing </w:t>
      </w:r>
      <w:r w:rsidR="0027092F" w:rsidRPr="00C914B1">
        <w:rPr>
          <w:sz w:val="22"/>
          <w:szCs w:val="22"/>
        </w:rPr>
        <w:t xml:space="preserve">learning </w:t>
      </w:r>
      <w:r w:rsidR="000C3179" w:rsidRPr="00C914B1">
        <w:rPr>
          <w:sz w:val="22"/>
          <w:szCs w:val="22"/>
        </w:rPr>
        <w:t>challenges, recognizing the role that technology can play</w:t>
      </w:r>
      <w:r w:rsidR="0027092F" w:rsidRPr="00C914B1">
        <w:rPr>
          <w:sz w:val="22"/>
          <w:szCs w:val="22"/>
        </w:rPr>
        <w:t>.</w:t>
      </w:r>
      <w:r w:rsidR="00D43DA4" w:rsidRPr="00C914B1">
        <w:rPr>
          <w:sz w:val="22"/>
          <w:szCs w:val="22"/>
        </w:rPr>
        <w:t xml:space="preserve"> </w:t>
      </w:r>
    </w:p>
    <w:p w14:paraId="3A3138DF" w14:textId="758155E2" w:rsidR="001849D5" w:rsidRPr="00C914B1" w:rsidRDefault="00082340" w:rsidP="001849D5">
      <w:pPr>
        <w:pStyle w:val="Heading2"/>
        <w:rPr>
          <w:rFonts w:asciiTheme="minorHAnsi" w:hAnsiTheme="minorHAnsi"/>
          <w:sz w:val="22"/>
          <w:szCs w:val="22"/>
        </w:rPr>
      </w:pPr>
      <w:r>
        <w:rPr>
          <w:rFonts w:asciiTheme="minorHAnsi" w:hAnsiTheme="minorHAnsi"/>
          <w:sz w:val="22"/>
          <w:szCs w:val="22"/>
        </w:rPr>
        <w:t>Who We A</w:t>
      </w:r>
      <w:r w:rsidR="001849D5">
        <w:rPr>
          <w:rFonts w:asciiTheme="minorHAnsi" w:hAnsiTheme="minorHAnsi"/>
          <w:sz w:val="22"/>
          <w:szCs w:val="22"/>
        </w:rPr>
        <w:t>re</w:t>
      </w:r>
    </w:p>
    <w:p w14:paraId="665C4D8A" w14:textId="77777777" w:rsidR="001849D5" w:rsidRDefault="001849D5" w:rsidP="000C3179">
      <w:pPr>
        <w:rPr>
          <w:sz w:val="22"/>
          <w:szCs w:val="22"/>
        </w:rPr>
      </w:pPr>
    </w:p>
    <w:p w14:paraId="46F0515C" w14:textId="1B7B7046" w:rsidR="000F0350" w:rsidRPr="00C914B1" w:rsidRDefault="000C3179" w:rsidP="000C3179">
      <w:pPr>
        <w:rPr>
          <w:sz w:val="22"/>
          <w:szCs w:val="22"/>
        </w:rPr>
      </w:pPr>
      <w:r w:rsidRPr="00C914B1">
        <w:rPr>
          <w:sz w:val="22"/>
          <w:szCs w:val="22"/>
        </w:rPr>
        <w:t xml:space="preserve">Digital Promise is an independent nonprofit authorized by Congress in the Higher Education Opportunity Act (2008) and launched by President Obama in 2011, with the mission to spur innovation in education. Digital Promise works with educators, entrepreneurs and developers, researchers, and leading thinkers to support research and development to benefit lifelong learners. </w:t>
      </w:r>
    </w:p>
    <w:p w14:paraId="37FD9764" w14:textId="77777777" w:rsidR="007926E2" w:rsidRPr="00C914B1" w:rsidRDefault="007926E2" w:rsidP="000C3179">
      <w:pPr>
        <w:rPr>
          <w:sz w:val="22"/>
          <w:szCs w:val="22"/>
        </w:rPr>
      </w:pPr>
    </w:p>
    <w:p w14:paraId="1C9EEF82" w14:textId="50FC019D" w:rsidR="00FD3120" w:rsidRDefault="000C3179" w:rsidP="00220818">
      <w:pPr>
        <w:rPr>
          <w:sz w:val="22"/>
          <w:szCs w:val="22"/>
        </w:rPr>
      </w:pPr>
      <w:r w:rsidRPr="00C914B1">
        <w:rPr>
          <w:sz w:val="22"/>
          <w:szCs w:val="22"/>
        </w:rPr>
        <w:t xml:space="preserve">A number of our initiatives </w:t>
      </w:r>
      <w:r w:rsidR="00C143D8">
        <w:rPr>
          <w:sz w:val="22"/>
          <w:szCs w:val="22"/>
        </w:rPr>
        <w:t xml:space="preserve">are organized around understanding and improving the educational technology marketplace and </w:t>
      </w:r>
      <w:r w:rsidR="00861417">
        <w:rPr>
          <w:sz w:val="22"/>
          <w:szCs w:val="22"/>
        </w:rPr>
        <w:t xml:space="preserve">point to opportunities </w:t>
      </w:r>
      <w:r w:rsidR="009A3176" w:rsidRPr="00C914B1">
        <w:rPr>
          <w:sz w:val="22"/>
          <w:szCs w:val="22"/>
        </w:rPr>
        <w:t xml:space="preserve">for </w:t>
      </w:r>
      <w:r w:rsidRPr="00C914B1">
        <w:rPr>
          <w:sz w:val="22"/>
          <w:szCs w:val="22"/>
        </w:rPr>
        <w:t>pull mechanisms</w:t>
      </w:r>
      <w:r w:rsidR="00C143D8">
        <w:rPr>
          <w:sz w:val="22"/>
          <w:szCs w:val="22"/>
        </w:rPr>
        <w:t>. O</w:t>
      </w:r>
      <w:r w:rsidR="0047386E" w:rsidRPr="00C914B1">
        <w:rPr>
          <w:sz w:val="22"/>
          <w:szCs w:val="22"/>
        </w:rPr>
        <w:t>ur team at Digital Promise has</w:t>
      </w:r>
      <w:r w:rsidR="0027092F" w:rsidRPr="00C914B1">
        <w:rPr>
          <w:sz w:val="22"/>
          <w:szCs w:val="22"/>
        </w:rPr>
        <w:t xml:space="preserve"> been thinking about these issues for a number of years</w:t>
      </w:r>
      <w:r w:rsidR="00861417">
        <w:rPr>
          <w:sz w:val="22"/>
          <w:szCs w:val="22"/>
        </w:rPr>
        <w:t>. W</w:t>
      </w:r>
      <w:r w:rsidR="0047386E" w:rsidRPr="00C914B1">
        <w:rPr>
          <w:sz w:val="22"/>
          <w:szCs w:val="22"/>
        </w:rPr>
        <w:t xml:space="preserve">e </w:t>
      </w:r>
      <w:r w:rsidR="0027092F" w:rsidRPr="00C914B1">
        <w:rPr>
          <w:sz w:val="22"/>
          <w:szCs w:val="22"/>
        </w:rPr>
        <w:t xml:space="preserve">appreciate the opportunity to share </w:t>
      </w:r>
      <w:r w:rsidR="00861417">
        <w:rPr>
          <w:sz w:val="22"/>
          <w:szCs w:val="22"/>
        </w:rPr>
        <w:t xml:space="preserve">our perspective </w:t>
      </w:r>
      <w:r w:rsidR="0027092F" w:rsidRPr="00C914B1">
        <w:rPr>
          <w:sz w:val="22"/>
          <w:szCs w:val="22"/>
        </w:rPr>
        <w:t xml:space="preserve">with OSTP. </w:t>
      </w:r>
    </w:p>
    <w:p w14:paraId="15BE9080" w14:textId="3A90DEFC" w:rsidR="007D37FB" w:rsidRPr="00880F31" w:rsidRDefault="007D37FB" w:rsidP="00880F31">
      <w:pPr>
        <w:pStyle w:val="Heading2"/>
        <w:rPr>
          <w:b w:val="0"/>
          <w:sz w:val="22"/>
          <w:szCs w:val="22"/>
        </w:rPr>
      </w:pPr>
      <w:r w:rsidRPr="00880F31">
        <w:rPr>
          <w:rFonts w:asciiTheme="minorHAnsi" w:hAnsiTheme="minorHAnsi"/>
          <w:sz w:val="22"/>
          <w:szCs w:val="22"/>
        </w:rPr>
        <w:t>The Promise of Pull</w:t>
      </w:r>
      <w:r w:rsidR="001849D5">
        <w:rPr>
          <w:rFonts w:asciiTheme="minorHAnsi" w:hAnsiTheme="minorHAnsi"/>
          <w:sz w:val="22"/>
          <w:szCs w:val="22"/>
        </w:rPr>
        <w:t xml:space="preserve"> </w:t>
      </w:r>
    </w:p>
    <w:p w14:paraId="1C9E2BC0" w14:textId="77777777" w:rsidR="001849D5" w:rsidRPr="00880F31" w:rsidRDefault="001849D5" w:rsidP="00220818">
      <w:pPr>
        <w:rPr>
          <w:b/>
          <w:sz w:val="22"/>
          <w:szCs w:val="22"/>
        </w:rPr>
      </w:pPr>
    </w:p>
    <w:p w14:paraId="54E5534E" w14:textId="4BFBCED9" w:rsidR="00497C05" w:rsidRDefault="00222DA9" w:rsidP="00220818">
      <w:pPr>
        <w:rPr>
          <w:sz w:val="22"/>
          <w:szCs w:val="22"/>
        </w:rPr>
      </w:pPr>
      <w:r w:rsidRPr="00C914B1">
        <w:rPr>
          <w:sz w:val="22"/>
          <w:szCs w:val="22"/>
        </w:rPr>
        <w:t xml:space="preserve">Pull mechanisms </w:t>
      </w:r>
      <w:r w:rsidR="001849D5">
        <w:rPr>
          <w:sz w:val="22"/>
          <w:szCs w:val="22"/>
        </w:rPr>
        <w:t xml:space="preserve">are promising </w:t>
      </w:r>
      <w:r w:rsidR="00880F31">
        <w:rPr>
          <w:sz w:val="22"/>
          <w:szCs w:val="22"/>
        </w:rPr>
        <w:t>strategies</w:t>
      </w:r>
      <w:r w:rsidR="00FB7CC9">
        <w:rPr>
          <w:sz w:val="22"/>
          <w:szCs w:val="22"/>
        </w:rPr>
        <w:t xml:space="preserve"> </w:t>
      </w:r>
      <w:r w:rsidR="00880F31">
        <w:rPr>
          <w:sz w:val="22"/>
          <w:szCs w:val="22"/>
        </w:rPr>
        <w:t>f</w:t>
      </w:r>
      <w:r w:rsidR="00FB7CC9">
        <w:rPr>
          <w:sz w:val="22"/>
          <w:szCs w:val="22"/>
        </w:rPr>
        <w:t>o</w:t>
      </w:r>
      <w:r w:rsidR="00880F31">
        <w:rPr>
          <w:sz w:val="22"/>
          <w:szCs w:val="22"/>
        </w:rPr>
        <w:t>r</w:t>
      </w:r>
      <w:r w:rsidR="00FB7CC9">
        <w:rPr>
          <w:sz w:val="22"/>
          <w:szCs w:val="22"/>
        </w:rPr>
        <w:t xml:space="preserve"> </w:t>
      </w:r>
      <w:r w:rsidRPr="00C914B1">
        <w:rPr>
          <w:sz w:val="22"/>
          <w:szCs w:val="22"/>
        </w:rPr>
        <w:t>improv</w:t>
      </w:r>
      <w:r w:rsidR="00880F31">
        <w:rPr>
          <w:sz w:val="22"/>
          <w:szCs w:val="22"/>
        </w:rPr>
        <w:t>ing</w:t>
      </w:r>
      <w:r w:rsidRPr="00C914B1">
        <w:rPr>
          <w:sz w:val="22"/>
          <w:szCs w:val="22"/>
        </w:rPr>
        <w:t xml:space="preserve"> educational outcomes for children and adults, but </w:t>
      </w:r>
      <w:r w:rsidR="001849D5">
        <w:rPr>
          <w:sz w:val="22"/>
          <w:szCs w:val="22"/>
        </w:rPr>
        <w:t xml:space="preserve">can </w:t>
      </w:r>
      <w:r w:rsidR="00DD79D0" w:rsidRPr="00C914B1">
        <w:rPr>
          <w:sz w:val="22"/>
          <w:szCs w:val="22"/>
        </w:rPr>
        <w:t>als</w:t>
      </w:r>
      <w:r w:rsidR="001849D5">
        <w:rPr>
          <w:sz w:val="22"/>
          <w:szCs w:val="22"/>
        </w:rPr>
        <w:t>o</w:t>
      </w:r>
      <w:r w:rsidR="002E2E85">
        <w:rPr>
          <w:sz w:val="22"/>
          <w:szCs w:val="22"/>
        </w:rPr>
        <w:t xml:space="preserve"> </w:t>
      </w:r>
      <w:r w:rsidR="001849D5">
        <w:rPr>
          <w:sz w:val="22"/>
          <w:szCs w:val="22"/>
        </w:rPr>
        <w:t xml:space="preserve">be </w:t>
      </w:r>
      <w:r w:rsidR="00DD79D0" w:rsidRPr="00C914B1">
        <w:rPr>
          <w:sz w:val="22"/>
          <w:szCs w:val="22"/>
        </w:rPr>
        <w:t xml:space="preserve">complex </w:t>
      </w:r>
      <w:r w:rsidR="0047386E" w:rsidRPr="00C914B1">
        <w:rPr>
          <w:sz w:val="22"/>
          <w:szCs w:val="22"/>
        </w:rPr>
        <w:t>initiatives</w:t>
      </w:r>
      <w:r w:rsidR="00DD79D0" w:rsidRPr="00C914B1">
        <w:rPr>
          <w:sz w:val="22"/>
          <w:szCs w:val="22"/>
        </w:rPr>
        <w:t xml:space="preserve"> to </w:t>
      </w:r>
      <w:r w:rsidR="0047386E" w:rsidRPr="00C914B1">
        <w:rPr>
          <w:sz w:val="22"/>
          <w:szCs w:val="22"/>
        </w:rPr>
        <w:t xml:space="preserve">structure and administer. </w:t>
      </w:r>
      <w:r w:rsidR="00566E14" w:rsidRPr="00C914B1">
        <w:rPr>
          <w:sz w:val="22"/>
          <w:szCs w:val="22"/>
        </w:rPr>
        <w:t xml:space="preserve">The </w:t>
      </w:r>
      <w:r w:rsidR="002E2E85">
        <w:rPr>
          <w:sz w:val="22"/>
          <w:szCs w:val="22"/>
        </w:rPr>
        <w:t>results achieved through</w:t>
      </w:r>
      <w:r w:rsidR="00967A53" w:rsidRPr="00707625">
        <w:rPr>
          <w:sz w:val="22"/>
          <w:szCs w:val="22"/>
        </w:rPr>
        <w:t xml:space="preserve"> pull mechanisms </w:t>
      </w:r>
      <w:r w:rsidR="002E2E85">
        <w:rPr>
          <w:sz w:val="22"/>
          <w:szCs w:val="22"/>
        </w:rPr>
        <w:t>in</w:t>
      </w:r>
      <w:r w:rsidR="00566E14" w:rsidRPr="00C914B1">
        <w:rPr>
          <w:sz w:val="22"/>
          <w:szCs w:val="22"/>
        </w:rPr>
        <w:t xml:space="preserve"> other sectors</w:t>
      </w:r>
      <w:r w:rsidR="00FB7CC9">
        <w:rPr>
          <w:sz w:val="22"/>
          <w:szCs w:val="22"/>
        </w:rPr>
        <w:t xml:space="preserve"> (</w:t>
      </w:r>
      <w:r w:rsidR="00967A53" w:rsidRPr="00707625">
        <w:rPr>
          <w:sz w:val="22"/>
          <w:szCs w:val="22"/>
        </w:rPr>
        <w:t>health, energy)</w:t>
      </w:r>
      <w:r w:rsidR="002E2E85">
        <w:rPr>
          <w:sz w:val="22"/>
          <w:szCs w:val="22"/>
        </w:rPr>
        <w:t xml:space="preserve"> included</w:t>
      </w:r>
      <w:r w:rsidR="00566E14" w:rsidRPr="00C914B1">
        <w:rPr>
          <w:sz w:val="22"/>
          <w:szCs w:val="22"/>
        </w:rPr>
        <w:t xml:space="preserve"> in OSTP’s RFI</w:t>
      </w:r>
      <w:r w:rsidR="002E2E85">
        <w:rPr>
          <w:sz w:val="22"/>
          <w:szCs w:val="22"/>
        </w:rPr>
        <w:t xml:space="preserve"> </w:t>
      </w:r>
      <w:r w:rsidR="00566E14" w:rsidRPr="00C914B1">
        <w:rPr>
          <w:sz w:val="22"/>
          <w:szCs w:val="22"/>
        </w:rPr>
        <w:t xml:space="preserve">are compelling. </w:t>
      </w:r>
      <w:r w:rsidR="001849D5">
        <w:rPr>
          <w:sz w:val="22"/>
          <w:szCs w:val="22"/>
        </w:rPr>
        <w:t>We recognize, however, that</w:t>
      </w:r>
      <w:r w:rsidR="002E2E85">
        <w:rPr>
          <w:sz w:val="22"/>
          <w:szCs w:val="22"/>
        </w:rPr>
        <w:t xml:space="preserve"> </w:t>
      </w:r>
      <w:r w:rsidR="00B52D74">
        <w:rPr>
          <w:sz w:val="22"/>
          <w:szCs w:val="22"/>
        </w:rPr>
        <w:t xml:space="preserve">successfully </w:t>
      </w:r>
      <w:r w:rsidR="002E2E85">
        <w:rPr>
          <w:sz w:val="22"/>
          <w:szCs w:val="22"/>
        </w:rPr>
        <w:t>educat</w:t>
      </w:r>
      <w:r w:rsidR="00FB7CC9">
        <w:rPr>
          <w:sz w:val="22"/>
          <w:szCs w:val="22"/>
        </w:rPr>
        <w:t>ing students</w:t>
      </w:r>
      <w:r w:rsidR="001849D5">
        <w:rPr>
          <w:sz w:val="22"/>
          <w:szCs w:val="22"/>
        </w:rPr>
        <w:t xml:space="preserve"> of all ages</w:t>
      </w:r>
      <w:r w:rsidR="00FB7CC9">
        <w:rPr>
          <w:sz w:val="22"/>
          <w:szCs w:val="22"/>
        </w:rPr>
        <w:t xml:space="preserve"> is different from</w:t>
      </w:r>
      <w:r w:rsidR="002E2E85">
        <w:rPr>
          <w:sz w:val="22"/>
          <w:szCs w:val="22"/>
        </w:rPr>
        <w:t xml:space="preserve"> vaccinating people against a disease. </w:t>
      </w:r>
    </w:p>
    <w:p w14:paraId="7CC026A5" w14:textId="77777777" w:rsidR="00497C05" w:rsidRDefault="00497C05" w:rsidP="00220818">
      <w:pPr>
        <w:rPr>
          <w:sz w:val="22"/>
          <w:szCs w:val="22"/>
        </w:rPr>
      </w:pPr>
    </w:p>
    <w:p w14:paraId="4B7EC391" w14:textId="77777777" w:rsidR="00497C05" w:rsidRDefault="00C143D8" w:rsidP="00220818">
      <w:pPr>
        <w:rPr>
          <w:sz w:val="22"/>
          <w:szCs w:val="22"/>
        </w:rPr>
      </w:pPr>
      <w:r>
        <w:rPr>
          <w:sz w:val="22"/>
          <w:szCs w:val="22"/>
        </w:rPr>
        <w:t xml:space="preserve">An intervention that </w:t>
      </w:r>
      <w:r w:rsidR="001849D5">
        <w:rPr>
          <w:sz w:val="22"/>
          <w:szCs w:val="22"/>
        </w:rPr>
        <w:t xml:space="preserve">effectively </w:t>
      </w:r>
      <w:r>
        <w:rPr>
          <w:sz w:val="22"/>
          <w:szCs w:val="22"/>
        </w:rPr>
        <w:t>empowers, engages, and educates one learner may be different from the type of interve</w:t>
      </w:r>
      <w:r w:rsidR="007076BD">
        <w:rPr>
          <w:sz w:val="22"/>
          <w:szCs w:val="22"/>
        </w:rPr>
        <w:t>ntion that will be successful for</w:t>
      </w:r>
      <w:r>
        <w:rPr>
          <w:sz w:val="22"/>
          <w:szCs w:val="22"/>
        </w:rPr>
        <w:t xml:space="preserve"> another learner – whether they’re in the same classroom or across the country. </w:t>
      </w:r>
    </w:p>
    <w:p w14:paraId="72B63228" w14:textId="77777777" w:rsidR="00497C05" w:rsidRDefault="00497C05" w:rsidP="00220818">
      <w:pPr>
        <w:rPr>
          <w:sz w:val="22"/>
          <w:szCs w:val="22"/>
        </w:rPr>
      </w:pPr>
    </w:p>
    <w:p w14:paraId="0FBC8DE5" w14:textId="65B7DBA4" w:rsidR="00E41D95" w:rsidRPr="00C914B1" w:rsidRDefault="001849D5" w:rsidP="00220818">
      <w:pPr>
        <w:rPr>
          <w:sz w:val="22"/>
          <w:szCs w:val="22"/>
        </w:rPr>
      </w:pPr>
      <w:r>
        <w:rPr>
          <w:sz w:val="22"/>
          <w:szCs w:val="22"/>
        </w:rPr>
        <w:t>I</w:t>
      </w:r>
      <w:r w:rsidR="002E2E85">
        <w:rPr>
          <w:sz w:val="22"/>
          <w:szCs w:val="22"/>
        </w:rPr>
        <w:t>t</w:t>
      </w:r>
      <w:r>
        <w:rPr>
          <w:sz w:val="22"/>
          <w:szCs w:val="22"/>
        </w:rPr>
        <w:t xml:space="preserve"> is also</w:t>
      </w:r>
      <w:r w:rsidR="002E2E85">
        <w:rPr>
          <w:sz w:val="22"/>
          <w:szCs w:val="22"/>
        </w:rPr>
        <w:t xml:space="preserve"> more difficult to isolate cause and effect</w:t>
      </w:r>
      <w:r w:rsidR="00A22CF8">
        <w:rPr>
          <w:sz w:val="22"/>
          <w:szCs w:val="22"/>
        </w:rPr>
        <w:t xml:space="preserve"> in education</w:t>
      </w:r>
      <w:r w:rsidR="002E2E85">
        <w:rPr>
          <w:sz w:val="22"/>
          <w:szCs w:val="22"/>
        </w:rPr>
        <w:t xml:space="preserve">. </w:t>
      </w:r>
      <w:r w:rsidR="0047386E" w:rsidRPr="00C914B1">
        <w:rPr>
          <w:sz w:val="22"/>
          <w:szCs w:val="22"/>
        </w:rPr>
        <w:t xml:space="preserve">Because </w:t>
      </w:r>
      <w:r w:rsidR="000C3179" w:rsidRPr="00C914B1">
        <w:rPr>
          <w:sz w:val="22"/>
          <w:szCs w:val="22"/>
        </w:rPr>
        <w:t xml:space="preserve">people </w:t>
      </w:r>
      <w:r w:rsidR="00E41D95" w:rsidRPr="00C914B1">
        <w:rPr>
          <w:sz w:val="22"/>
          <w:szCs w:val="22"/>
        </w:rPr>
        <w:t>learn offline, online,</w:t>
      </w:r>
      <w:r w:rsidR="002E2E85">
        <w:rPr>
          <w:sz w:val="22"/>
          <w:szCs w:val="22"/>
        </w:rPr>
        <w:t xml:space="preserve"> and </w:t>
      </w:r>
      <w:r w:rsidR="00497C05">
        <w:rPr>
          <w:sz w:val="22"/>
          <w:szCs w:val="22"/>
        </w:rPr>
        <w:t xml:space="preserve">in </w:t>
      </w:r>
      <w:r w:rsidR="002E2E85">
        <w:rPr>
          <w:sz w:val="22"/>
          <w:szCs w:val="22"/>
        </w:rPr>
        <w:t>blended settings,</w:t>
      </w:r>
      <w:r w:rsidR="00566E14" w:rsidRPr="00C914B1">
        <w:rPr>
          <w:sz w:val="22"/>
          <w:szCs w:val="22"/>
        </w:rPr>
        <w:t xml:space="preserve"> </w:t>
      </w:r>
      <w:r w:rsidR="0047386E" w:rsidRPr="00C914B1">
        <w:rPr>
          <w:sz w:val="22"/>
          <w:szCs w:val="22"/>
        </w:rPr>
        <w:t>a</w:t>
      </w:r>
      <w:r w:rsidR="00861417">
        <w:rPr>
          <w:sz w:val="22"/>
          <w:szCs w:val="22"/>
        </w:rPr>
        <w:t xml:space="preserve">ttributing </w:t>
      </w:r>
      <w:r w:rsidR="00B52D74">
        <w:rPr>
          <w:sz w:val="22"/>
          <w:szCs w:val="22"/>
        </w:rPr>
        <w:t xml:space="preserve">improvements in </w:t>
      </w:r>
      <w:r w:rsidR="00861417">
        <w:rPr>
          <w:sz w:val="22"/>
          <w:szCs w:val="22"/>
        </w:rPr>
        <w:t>education</w:t>
      </w:r>
      <w:r w:rsidR="00B52D74">
        <w:rPr>
          <w:sz w:val="22"/>
          <w:szCs w:val="22"/>
        </w:rPr>
        <w:t>al</w:t>
      </w:r>
      <w:r w:rsidR="0047386E" w:rsidRPr="00C914B1">
        <w:rPr>
          <w:sz w:val="22"/>
          <w:szCs w:val="22"/>
        </w:rPr>
        <w:t xml:space="preserve"> </w:t>
      </w:r>
      <w:r w:rsidR="000C3179" w:rsidRPr="00C914B1">
        <w:rPr>
          <w:sz w:val="22"/>
          <w:szCs w:val="22"/>
        </w:rPr>
        <w:t xml:space="preserve">outcomes to </w:t>
      </w:r>
      <w:r w:rsidR="00967A53" w:rsidRPr="00707625">
        <w:rPr>
          <w:sz w:val="22"/>
          <w:szCs w:val="22"/>
        </w:rPr>
        <w:t xml:space="preserve">specific </w:t>
      </w:r>
      <w:r w:rsidR="000C3179" w:rsidRPr="00C914B1">
        <w:rPr>
          <w:sz w:val="22"/>
          <w:szCs w:val="22"/>
        </w:rPr>
        <w:t xml:space="preserve">inputs </w:t>
      </w:r>
      <w:r w:rsidR="002E2E85">
        <w:rPr>
          <w:sz w:val="22"/>
          <w:szCs w:val="22"/>
        </w:rPr>
        <w:t xml:space="preserve">– an essential task for </w:t>
      </w:r>
      <w:r w:rsidR="00FB7CC9">
        <w:rPr>
          <w:sz w:val="22"/>
          <w:szCs w:val="22"/>
        </w:rPr>
        <w:t>accurately selecting p</w:t>
      </w:r>
      <w:r w:rsidR="002E2E85">
        <w:rPr>
          <w:sz w:val="22"/>
          <w:szCs w:val="22"/>
        </w:rPr>
        <w:t xml:space="preserve">rize winners, advance market commitment recipients, and pay-for-success </w:t>
      </w:r>
      <w:r w:rsidR="00A22CF8">
        <w:rPr>
          <w:sz w:val="22"/>
          <w:szCs w:val="22"/>
        </w:rPr>
        <w:t>partners</w:t>
      </w:r>
      <w:r w:rsidR="002E2E85">
        <w:rPr>
          <w:sz w:val="22"/>
          <w:szCs w:val="22"/>
        </w:rPr>
        <w:t xml:space="preserve">, for example – </w:t>
      </w:r>
      <w:r w:rsidR="000C3179" w:rsidRPr="00C914B1">
        <w:rPr>
          <w:sz w:val="22"/>
          <w:szCs w:val="22"/>
        </w:rPr>
        <w:t xml:space="preserve">requires </w:t>
      </w:r>
      <w:r w:rsidR="0047386E" w:rsidRPr="00C914B1">
        <w:rPr>
          <w:sz w:val="22"/>
          <w:szCs w:val="22"/>
        </w:rPr>
        <w:t>sophisticated program and evaluation design</w:t>
      </w:r>
      <w:r w:rsidR="000C3179" w:rsidRPr="00C914B1">
        <w:rPr>
          <w:sz w:val="22"/>
          <w:szCs w:val="22"/>
        </w:rPr>
        <w:t xml:space="preserve"> and data analysis</w:t>
      </w:r>
      <w:r w:rsidR="0047386E" w:rsidRPr="00C914B1">
        <w:rPr>
          <w:sz w:val="22"/>
          <w:szCs w:val="22"/>
        </w:rPr>
        <w:t>.</w:t>
      </w:r>
      <w:r w:rsidR="00E41D95" w:rsidRPr="00C914B1">
        <w:rPr>
          <w:sz w:val="22"/>
          <w:szCs w:val="22"/>
        </w:rPr>
        <w:t xml:space="preserve"> </w:t>
      </w:r>
    </w:p>
    <w:p w14:paraId="373BC333" w14:textId="77777777" w:rsidR="00E41D95" w:rsidRPr="00C914B1" w:rsidRDefault="00E41D95" w:rsidP="00220818">
      <w:pPr>
        <w:rPr>
          <w:sz w:val="22"/>
          <w:szCs w:val="22"/>
        </w:rPr>
      </w:pPr>
    </w:p>
    <w:p w14:paraId="497D4DB6" w14:textId="399C0272" w:rsidR="0027092F" w:rsidRPr="00C914B1" w:rsidRDefault="00A81D56" w:rsidP="00220818">
      <w:pPr>
        <w:rPr>
          <w:sz w:val="22"/>
          <w:szCs w:val="22"/>
        </w:rPr>
      </w:pPr>
      <w:r>
        <w:rPr>
          <w:sz w:val="22"/>
          <w:szCs w:val="22"/>
        </w:rPr>
        <w:t xml:space="preserve">Pull mechanisms that require certain, attributable success in order to identify “winners” would be most successful under conditions that make it possible to judge the success of the innovation objectively, </w:t>
      </w:r>
      <w:r w:rsidR="001849D5">
        <w:rPr>
          <w:sz w:val="22"/>
          <w:szCs w:val="22"/>
        </w:rPr>
        <w:t>including</w:t>
      </w:r>
      <w:r w:rsidR="00E41D95" w:rsidRPr="00C914B1">
        <w:rPr>
          <w:sz w:val="22"/>
          <w:szCs w:val="22"/>
        </w:rPr>
        <w:t>:</w:t>
      </w:r>
    </w:p>
    <w:p w14:paraId="5BB743B5" w14:textId="77777777" w:rsidR="00566E14" w:rsidRPr="00C914B1" w:rsidRDefault="00566E14" w:rsidP="00220818">
      <w:pPr>
        <w:rPr>
          <w:sz w:val="22"/>
          <w:szCs w:val="22"/>
        </w:rPr>
      </w:pPr>
    </w:p>
    <w:p w14:paraId="374198EB" w14:textId="59722268" w:rsidR="00566E14" w:rsidRPr="00C914B1" w:rsidRDefault="00E41D95" w:rsidP="00E41D95">
      <w:pPr>
        <w:pStyle w:val="ListParagraph"/>
        <w:numPr>
          <w:ilvl w:val="0"/>
          <w:numId w:val="13"/>
        </w:numPr>
        <w:rPr>
          <w:sz w:val="22"/>
          <w:szCs w:val="22"/>
        </w:rPr>
      </w:pPr>
      <w:r w:rsidRPr="00C914B1">
        <w:rPr>
          <w:sz w:val="22"/>
          <w:szCs w:val="22"/>
        </w:rPr>
        <w:t xml:space="preserve">Clear definitions of </w:t>
      </w:r>
      <w:r w:rsidR="00566E14" w:rsidRPr="00C914B1">
        <w:rPr>
          <w:sz w:val="22"/>
          <w:szCs w:val="22"/>
        </w:rPr>
        <w:t>the problem to be addressed and the vision for success</w:t>
      </w:r>
      <w:r w:rsidR="00497C05">
        <w:rPr>
          <w:sz w:val="22"/>
          <w:szCs w:val="22"/>
        </w:rPr>
        <w:t>.</w:t>
      </w:r>
    </w:p>
    <w:p w14:paraId="0ABC543F" w14:textId="0A9EC4FA" w:rsidR="00E41D95" w:rsidRPr="00C914B1" w:rsidRDefault="00566E14" w:rsidP="00E41D95">
      <w:pPr>
        <w:pStyle w:val="ListParagraph"/>
        <w:numPr>
          <w:ilvl w:val="0"/>
          <w:numId w:val="13"/>
        </w:numPr>
        <w:rPr>
          <w:sz w:val="22"/>
          <w:szCs w:val="22"/>
        </w:rPr>
      </w:pPr>
      <w:r w:rsidRPr="00C914B1">
        <w:rPr>
          <w:sz w:val="22"/>
          <w:szCs w:val="22"/>
        </w:rPr>
        <w:t xml:space="preserve">Clear definition of the </w:t>
      </w:r>
      <w:r w:rsidR="00E41D95" w:rsidRPr="00C914B1">
        <w:rPr>
          <w:sz w:val="22"/>
          <w:szCs w:val="22"/>
        </w:rPr>
        <w:t>outcomes to be measured</w:t>
      </w:r>
      <w:r w:rsidRPr="00C914B1">
        <w:rPr>
          <w:sz w:val="22"/>
          <w:szCs w:val="22"/>
        </w:rPr>
        <w:t xml:space="preserve"> and availability of sound metrics to be used in measurement</w:t>
      </w:r>
      <w:r w:rsidR="00497C05">
        <w:rPr>
          <w:sz w:val="22"/>
          <w:szCs w:val="22"/>
        </w:rPr>
        <w:t>.</w:t>
      </w:r>
    </w:p>
    <w:p w14:paraId="430D4B3B" w14:textId="620CDD40" w:rsidR="00E41D95" w:rsidRPr="00707625" w:rsidRDefault="000C3179" w:rsidP="00E41D95">
      <w:pPr>
        <w:pStyle w:val="ListParagraph"/>
        <w:numPr>
          <w:ilvl w:val="0"/>
          <w:numId w:val="13"/>
        </w:numPr>
        <w:rPr>
          <w:sz w:val="22"/>
          <w:szCs w:val="22"/>
        </w:rPr>
      </w:pPr>
      <w:r w:rsidRPr="00C914B1">
        <w:rPr>
          <w:sz w:val="22"/>
          <w:szCs w:val="22"/>
        </w:rPr>
        <w:t>Identification of</w:t>
      </w:r>
      <w:r w:rsidR="00E41D95" w:rsidRPr="00C914B1">
        <w:rPr>
          <w:sz w:val="22"/>
          <w:szCs w:val="22"/>
        </w:rPr>
        <w:t xml:space="preserve"> </w:t>
      </w:r>
      <w:r w:rsidR="00941394">
        <w:rPr>
          <w:sz w:val="22"/>
          <w:szCs w:val="22"/>
        </w:rPr>
        <w:t xml:space="preserve">appropriate </w:t>
      </w:r>
      <w:r w:rsidR="001849D5">
        <w:rPr>
          <w:sz w:val="22"/>
          <w:szCs w:val="22"/>
        </w:rPr>
        <w:t>test-bed</w:t>
      </w:r>
      <w:r w:rsidR="00941394">
        <w:rPr>
          <w:sz w:val="22"/>
          <w:szCs w:val="22"/>
        </w:rPr>
        <w:t>s</w:t>
      </w:r>
      <w:r w:rsidR="001849D5">
        <w:rPr>
          <w:sz w:val="22"/>
          <w:szCs w:val="22"/>
        </w:rPr>
        <w:t xml:space="preserve"> for </w:t>
      </w:r>
      <w:r w:rsidR="00C60E35">
        <w:rPr>
          <w:sz w:val="22"/>
          <w:szCs w:val="22"/>
        </w:rPr>
        <w:t xml:space="preserve">the </w:t>
      </w:r>
      <w:r w:rsidR="001849D5">
        <w:rPr>
          <w:sz w:val="22"/>
          <w:szCs w:val="22"/>
        </w:rPr>
        <w:t>innovation</w:t>
      </w:r>
      <w:r w:rsidR="00497C05">
        <w:rPr>
          <w:sz w:val="22"/>
          <w:szCs w:val="22"/>
        </w:rPr>
        <w:t>.</w:t>
      </w:r>
      <w:r w:rsidR="00E41D95" w:rsidRPr="00C914B1">
        <w:rPr>
          <w:sz w:val="22"/>
          <w:szCs w:val="22"/>
        </w:rPr>
        <w:t xml:space="preserve"> </w:t>
      </w:r>
    </w:p>
    <w:p w14:paraId="7C642A49" w14:textId="3AEE987E" w:rsidR="00E41D95" w:rsidRPr="00C914B1" w:rsidRDefault="00E41D95" w:rsidP="00E41D95">
      <w:pPr>
        <w:pStyle w:val="ListParagraph"/>
        <w:numPr>
          <w:ilvl w:val="0"/>
          <w:numId w:val="13"/>
        </w:numPr>
        <w:rPr>
          <w:sz w:val="22"/>
          <w:szCs w:val="22"/>
        </w:rPr>
      </w:pPr>
      <w:r w:rsidRPr="00C914B1">
        <w:rPr>
          <w:sz w:val="22"/>
          <w:szCs w:val="22"/>
        </w:rPr>
        <w:t>Careful matching of the optimal pull mechanism to the challenge under consideration</w:t>
      </w:r>
      <w:r w:rsidR="00497C05">
        <w:rPr>
          <w:sz w:val="22"/>
          <w:szCs w:val="22"/>
        </w:rPr>
        <w:t>.</w:t>
      </w:r>
    </w:p>
    <w:p w14:paraId="703FBCDB" w14:textId="308F16A6" w:rsidR="00E41D95" w:rsidRPr="00C914B1" w:rsidRDefault="00E41D95" w:rsidP="00E41D95">
      <w:pPr>
        <w:pStyle w:val="ListParagraph"/>
        <w:numPr>
          <w:ilvl w:val="0"/>
          <w:numId w:val="13"/>
        </w:numPr>
        <w:rPr>
          <w:sz w:val="22"/>
          <w:szCs w:val="22"/>
        </w:rPr>
      </w:pPr>
      <w:r w:rsidRPr="00C914B1">
        <w:rPr>
          <w:sz w:val="22"/>
          <w:szCs w:val="22"/>
        </w:rPr>
        <w:t>Rigorous evaluation and monitoring to create confidence in results and award decisions</w:t>
      </w:r>
      <w:r w:rsidR="00497C05">
        <w:rPr>
          <w:sz w:val="22"/>
          <w:szCs w:val="22"/>
        </w:rPr>
        <w:t>.</w:t>
      </w:r>
    </w:p>
    <w:p w14:paraId="15616333" w14:textId="3DBC5276" w:rsidR="00E41D95" w:rsidRPr="00C914B1" w:rsidRDefault="00E41D95" w:rsidP="00E41D95">
      <w:pPr>
        <w:pStyle w:val="ListParagraph"/>
        <w:numPr>
          <w:ilvl w:val="0"/>
          <w:numId w:val="13"/>
        </w:numPr>
        <w:rPr>
          <w:sz w:val="22"/>
          <w:szCs w:val="22"/>
        </w:rPr>
      </w:pPr>
      <w:r w:rsidRPr="00C914B1">
        <w:rPr>
          <w:sz w:val="22"/>
          <w:szCs w:val="22"/>
        </w:rPr>
        <w:t xml:space="preserve">Development of independent expert groups to </w:t>
      </w:r>
      <w:r w:rsidR="00D44198" w:rsidRPr="00C914B1">
        <w:rPr>
          <w:sz w:val="22"/>
          <w:szCs w:val="22"/>
        </w:rPr>
        <w:t xml:space="preserve">support and </w:t>
      </w:r>
      <w:r w:rsidRPr="00C914B1">
        <w:rPr>
          <w:sz w:val="22"/>
          <w:szCs w:val="22"/>
        </w:rPr>
        <w:t>manage these processes.</w:t>
      </w:r>
    </w:p>
    <w:p w14:paraId="1DD4D26D" w14:textId="77777777" w:rsidR="0027092F" w:rsidRDefault="0027092F" w:rsidP="00220818">
      <w:pPr>
        <w:rPr>
          <w:sz w:val="22"/>
          <w:szCs w:val="22"/>
        </w:rPr>
      </w:pPr>
    </w:p>
    <w:p w14:paraId="3728D5A7" w14:textId="3DDDA287" w:rsidR="00A22CF8" w:rsidRDefault="00A22CF8" w:rsidP="00220818">
      <w:pPr>
        <w:rPr>
          <w:sz w:val="22"/>
          <w:szCs w:val="22"/>
        </w:rPr>
      </w:pPr>
      <w:r w:rsidRPr="00A22CF8">
        <w:rPr>
          <w:sz w:val="22"/>
          <w:szCs w:val="22"/>
        </w:rPr>
        <w:t>And</w:t>
      </w:r>
      <w:r w:rsidR="001849D5">
        <w:rPr>
          <w:sz w:val="22"/>
          <w:szCs w:val="22"/>
        </w:rPr>
        <w:t xml:space="preserve">, perhaps most critically, we need a </w:t>
      </w:r>
      <w:r w:rsidRPr="00A22CF8">
        <w:rPr>
          <w:sz w:val="22"/>
          <w:szCs w:val="22"/>
        </w:rPr>
        <w:t>policy environment</w:t>
      </w:r>
      <w:r w:rsidR="001849D5">
        <w:rPr>
          <w:sz w:val="22"/>
          <w:szCs w:val="22"/>
        </w:rPr>
        <w:t xml:space="preserve"> </w:t>
      </w:r>
      <w:r w:rsidRPr="00A22CF8">
        <w:rPr>
          <w:sz w:val="22"/>
          <w:szCs w:val="22"/>
        </w:rPr>
        <w:t>that not only permits</w:t>
      </w:r>
      <w:r w:rsidR="001849D5">
        <w:rPr>
          <w:sz w:val="22"/>
          <w:szCs w:val="22"/>
        </w:rPr>
        <w:t>,</w:t>
      </w:r>
      <w:r w:rsidRPr="00A22CF8">
        <w:rPr>
          <w:sz w:val="22"/>
          <w:szCs w:val="22"/>
        </w:rPr>
        <w:t xml:space="preserve"> but </w:t>
      </w:r>
      <w:r w:rsidR="00FF5320">
        <w:rPr>
          <w:sz w:val="22"/>
          <w:szCs w:val="22"/>
        </w:rPr>
        <w:t xml:space="preserve">also </w:t>
      </w:r>
      <w:r w:rsidRPr="00A22CF8">
        <w:rPr>
          <w:sz w:val="22"/>
          <w:szCs w:val="22"/>
        </w:rPr>
        <w:t>incent</w:t>
      </w:r>
      <w:r w:rsidR="00426B56">
        <w:rPr>
          <w:sz w:val="22"/>
          <w:szCs w:val="22"/>
        </w:rPr>
        <w:t>ivize</w:t>
      </w:r>
      <w:r w:rsidRPr="00A22CF8">
        <w:rPr>
          <w:sz w:val="22"/>
          <w:szCs w:val="22"/>
        </w:rPr>
        <w:t xml:space="preserve">s the use of </w:t>
      </w:r>
      <w:r w:rsidR="001849D5">
        <w:rPr>
          <w:sz w:val="22"/>
          <w:szCs w:val="22"/>
        </w:rPr>
        <w:t>pull mechanisms</w:t>
      </w:r>
      <w:r>
        <w:rPr>
          <w:sz w:val="22"/>
          <w:szCs w:val="22"/>
        </w:rPr>
        <w:t>.</w:t>
      </w:r>
    </w:p>
    <w:p w14:paraId="3499331F" w14:textId="77777777" w:rsidR="00A22CF8" w:rsidRPr="00C914B1" w:rsidRDefault="00A22CF8" w:rsidP="00220818">
      <w:pPr>
        <w:rPr>
          <w:sz w:val="22"/>
          <w:szCs w:val="22"/>
        </w:rPr>
      </w:pPr>
    </w:p>
    <w:p w14:paraId="66E8489D" w14:textId="31F08980" w:rsidR="00C143D8" w:rsidRDefault="00C143D8" w:rsidP="00220818">
      <w:pPr>
        <w:rPr>
          <w:sz w:val="22"/>
          <w:szCs w:val="22"/>
        </w:rPr>
      </w:pPr>
      <w:r>
        <w:rPr>
          <w:sz w:val="22"/>
          <w:szCs w:val="22"/>
        </w:rPr>
        <w:t>For pay</w:t>
      </w:r>
      <w:r w:rsidR="001B0864">
        <w:rPr>
          <w:sz w:val="22"/>
          <w:szCs w:val="22"/>
        </w:rPr>
        <w:t>-</w:t>
      </w:r>
      <w:r>
        <w:rPr>
          <w:sz w:val="22"/>
          <w:szCs w:val="22"/>
        </w:rPr>
        <w:t>for</w:t>
      </w:r>
      <w:r w:rsidR="001B0864">
        <w:rPr>
          <w:sz w:val="22"/>
          <w:szCs w:val="22"/>
        </w:rPr>
        <w:t>-</w:t>
      </w:r>
      <w:r>
        <w:rPr>
          <w:sz w:val="22"/>
          <w:szCs w:val="22"/>
        </w:rPr>
        <w:t>success approaches described in the RFI, a new class of social impact investors</w:t>
      </w:r>
      <w:r w:rsidR="00953082">
        <w:rPr>
          <w:sz w:val="22"/>
          <w:szCs w:val="22"/>
        </w:rPr>
        <w:t xml:space="preserve"> may also be needed</w:t>
      </w:r>
      <w:r>
        <w:rPr>
          <w:sz w:val="22"/>
          <w:szCs w:val="22"/>
        </w:rPr>
        <w:t xml:space="preserve"> in the educational technology marketplace</w:t>
      </w:r>
      <w:r w:rsidR="00953082">
        <w:rPr>
          <w:sz w:val="22"/>
          <w:szCs w:val="22"/>
        </w:rPr>
        <w:t xml:space="preserve">. These investors </w:t>
      </w:r>
      <w:r>
        <w:rPr>
          <w:sz w:val="22"/>
          <w:szCs w:val="22"/>
        </w:rPr>
        <w:t>cover program implementation costs and are repaid only after the provider achieves program objectives.</w:t>
      </w:r>
    </w:p>
    <w:p w14:paraId="783691B6" w14:textId="77777777" w:rsidR="00C143D8" w:rsidRDefault="00C143D8" w:rsidP="00220818">
      <w:pPr>
        <w:rPr>
          <w:sz w:val="22"/>
          <w:szCs w:val="22"/>
        </w:rPr>
      </w:pPr>
    </w:p>
    <w:p w14:paraId="0B7033E3" w14:textId="23AC9758" w:rsidR="00D44198" w:rsidRPr="00C914B1" w:rsidRDefault="000C3179" w:rsidP="00220818">
      <w:pPr>
        <w:rPr>
          <w:sz w:val="22"/>
          <w:szCs w:val="22"/>
        </w:rPr>
      </w:pPr>
      <w:r w:rsidRPr="00C914B1">
        <w:rPr>
          <w:sz w:val="22"/>
          <w:szCs w:val="22"/>
        </w:rPr>
        <w:t>T</w:t>
      </w:r>
      <w:r w:rsidR="00546085" w:rsidRPr="00C914B1">
        <w:rPr>
          <w:sz w:val="22"/>
          <w:szCs w:val="22"/>
        </w:rPr>
        <w:t xml:space="preserve">hose who </w:t>
      </w:r>
      <w:r w:rsidRPr="00C914B1">
        <w:rPr>
          <w:sz w:val="22"/>
          <w:szCs w:val="22"/>
        </w:rPr>
        <w:t xml:space="preserve">seek to </w:t>
      </w:r>
      <w:r w:rsidR="00546085" w:rsidRPr="00C914B1">
        <w:rPr>
          <w:sz w:val="22"/>
          <w:szCs w:val="22"/>
        </w:rPr>
        <w:t xml:space="preserve">employ pull mechanisms to drive </w:t>
      </w:r>
      <w:r w:rsidR="001849D5">
        <w:rPr>
          <w:sz w:val="22"/>
          <w:szCs w:val="22"/>
        </w:rPr>
        <w:t>the</w:t>
      </w:r>
      <w:r w:rsidR="00B52D74">
        <w:rPr>
          <w:sz w:val="22"/>
          <w:szCs w:val="22"/>
        </w:rPr>
        <w:t xml:space="preserve"> </w:t>
      </w:r>
      <w:r w:rsidR="00546085" w:rsidRPr="00C914B1">
        <w:rPr>
          <w:sz w:val="22"/>
          <w:szCs w:val="22"/>
        </w:rPr>
        <w:t xml:space="preserve">development of </w:t>
      </w:r>
      <w:r w:rsidR="001849D5">
        <w:rPr>
          <w:sz w:val="22"/>
          <w:szCs w:val="22"/>
        </w:rPr>
        <w:t xml:space="preserve">new, </w:t>
      </w:r>
      <w:r w:rsidRPr="00C914B1">
        <w:rPr>
          <w:sz w:val="22"/>
          <w:szCs w:val="22"/>
        </w:rPr>
        <w:t>game</w:t>
      </w:r>
      <w:r w:rsidR="001849D5">
        <w:rPr>
          <w:sz w:val="22"/>
          <w:szCs w:val="22"/>
        </w:rPr>
        <w:t>-</w:t>
      </w:r>
      <w:r w:rsidRPr="00C914B1">
        <w:rPr>
          <w:sz w:val="22"/>
          <w:szCs w:val="22"/>
        </w:rPr>
        <w:t>changing</w:t>
      </w:r>
      <w:r w:rsidR="00546085" w:rsidRPr="00C914B1">
        <w:rPr>
          <w:sz w:val="22"/>
          <w:szCs w:val="22"/>
        </w:rPr>
        <w:t xml:space="preserve"> solutions should </w:t>
      </w:r>
      <w:r w:rsidRPr="00C914B1">
        <w:rPr>
          <w:sz w:val="22"/>
          <w:szCs w:val="22"/>
        </w:rPr>
        <w:t xml:space="preserve">begin with a </w:t>
      </w:r>
      <w:r w:rsidR="00546085" w:rsidRPr="00C914B1">
        <w:rPr>
          <w:sz w:val="22"/>
          <w:szCs w:val="22"/>
        </w:rPr>
        <w:t>focus on</w:t>
      </w:r>
      <w:r w:rsidR="0047386E" w:rsidRPr="00C914B1">
        <w:rPr>
          <w:sz w:val="22"/>
          <w:szCs w:val="22"/>
        </w:rPr>
        <w:t xml:space="preserve"> a small number of grand challenges with ambitious goals</w:t>
      </w:r>
      <w:r w:rsidR="001849D5">
        <w:rPr>
          <w:sz w:val="22"/>
          <w:szCs w:val="22"/>
        </w:rPr>
        <w:t>,</w:t>
      </w:r>
      <w:r w:rsidR="0047386E" w:rsidRPr="00C914B1">
        <w:rPr>
          <w:sz w:val="22"/>
          <w:szCs w:val="22"/>
        </w:rPr>
        <w:t xml:space="preserve"> </w:t>
      </w:r>
      <w:r w:rsidRPr="00C914B1">
        <w:rPr>
          <w:sz w:val="22"/>
          <w:szCs w:val="22"/>
        </w:rPr>
        <w:t>as well as</w:t>
      </w:r>
      <w:r w:rsidR="00546085" w:rsidRPr="00C914B1">
        <w:rPr>
          <w:sz w:val="22"/>
          <w:szCs w:val="22"/>
        </w:rPr>
        <w:t xml:space="preserve"> clear success metrics</w:t>
      </w:r>
      <w:r w:rsidRPr="00C914B1">
        <w:rPr>
          <w:sz w:val="22"/>
          <w:szCs w:val="22"/>
        </w:rPr>
        <w:t xml:space="preserve">. </w:t>
      </w:r>
      <w:r w:rsidR="00CD203F">
        <w:rPr>
          <w:sz w:val="22"/>
          <w:szCs w:val="22"/>
        </w:rPr>
        <w:t>This</w:t>
      </w:r>
      <w:r w:rsidRPr="00C914B1">
        <w:rPr>
          <w:sz w:val="22"/>
          <w:szCs w:val="22"/>
        </w:rPr>
        <w:t xml:space="preserve"> w</w:t>
      </w:r>
      <w:r w:rsidR="00CD203F">
        <w:rPr>
          <w:sz w:val="22"/>
          <w:szCs w:val="22"/>
        </w:rPr>
        <w:t>ould</w:t>
      </w:r>
      <w:r w:rsidRPr="00C914B1">
        <w:rPr>
          <w:sz w:val="22"/>
          <w:szCs w:val="22"/>
        </w:rPr>
        <w:t xml:space="preserve"> advance well</w:t>
      </w:r>
      <w:r w:rsidR="00566E14" w:rsidRPr="00C914B1">
        <w:rPr>
          <w:sz w:val="22"/>
          <w:szCs w:val="22"/>
        </w:rPr>
        <w:t>-</w:t>
      </w:r>
      <w:r w:rsidRPr="00C914B1">
        <w:rPr>
          <w:sz w:val="22"/>
          <w:szCs w:val="22"/>
        </w:rPr>
        <w:t>known proof points associated with the</w:t>
      </w:r>
      <w:r w:rsidR="00D44198" w:rsidRPr="00C914B1">
        <w:rPr>
          <w:sz w:val="22"/>
          <w:szCs w:val="22"/>
        </w:rPr>
        <w:t xml:space="preserve"> viability of pull mechanisms in education. </w:t>
      </w:r>
    </w:p>
    <w:p w14:paraId="73458046" w14:textId="77777777" w:rsidR="007926E2" w:rsidRDefault="007926E2" w:rsidP="00220818">
      <w:pPr>
        <w:rPr>
          <w:sz w:val="22"/>
          <w:szCs w:val="22"/>
        </w:rPr>
      </w:pPr>
    </w:p>
    <w:p w14:paraId="491E7630" w14:textId="5E4DD3DE" w:rsidR="00FF5320" w:rsidRDefault="007076BD" w:rsidP="00220818">
      <w:pPr>
        <w:rPr>
          <w:sz w:val="22"/>
          <w:szCs w:val="22"/>
        </w:rPr>
      </w:pPr>
      <w:r>
        <w:rPr>
          <w:sz w:val="22"/>
          <w:szCs w:val="22"/>
        </w:rPr>
        <w:t>Cooperative purchasing as a pull mechanism</w:t>
      </w:r>
      <w:r w:rsidR="00C021AF">
        <w:rPr>
          <w:sz w:val="22"/>
          <w:szCs w:val="22"/>
        </w:rPr>
        <w:t xml:space="preserve"> is different. The purpose </w:t>
      </w:r>
      <w:r w:rsidR="001849D5">
        <w:rPr>
          <w:sz w:val="22"/>
          <w:szCs w:val="22"/>
        </w:rPr>
        <w:t xml:space="preserve">of cooperative purchasing is not </w:t>
      </w:r>
      <w:r w:rsidR="00C021AF">
        <w:rPr>
          <w:sz w:val="22"/>
          <w:szCs w:val="22"/>
        </w:rPr>
        <w:t xml:space="preserve">to drive </w:t>
      </w:r>
      <w:r w:rsidR="001849D5">
        <w:rPr>
          <w:sz w:val="22"/>
          <w:szCs w:val="22"/>
        </w:rPr>
        <w:t xml:space="preserve">the </w:t>
      </w:r>
      <w:r w:rsidR="00C021AF">
        <w:rPr>
          <w:sz w:val="22"/>
          <w:szCs w:val="22"/>
        </w:rPr>
        <w:t>development and testing of new tools</w:t>
      </w:r>
      <w:r w:rsidR="00532718">
        <w:rPr>
          <w:sz w:val="22"/>
          <w:szCs w:val="22"/>
        </w:rPr>
        <w:t>, but</w:t>
      </w:r>
      <w:r w:rsidR="00C021AF">
        <w:rPr>
          <w:sz w:val="22"/>
          <w:szCs w:val="22"/>
        </w:rPr>
        <w:t xml:space="preserve"> to get the best possible price </w:t>
      </w:r>
      <w:r w:rsidR="00C60E35">
        <w:rPr>
          <w:sz w:val="22"/>
          <w:szCs w:val="22"/>
        </w:rPr>
        <w:t xml:space="preserve">for an existing </w:t>
      </w:r>
      <w:r w:rsidR="00C021AF">
        <w:rPr>
          <w:sz w:val="22"/>
          <w:szCs w:val="22"/>
        </w:rPr>
        <w:t xml:space="preserve">product by leveraging </w:t>
      </w:r>
      <w:r>
        <w:rPr>
          <w:sz w:val="22"/>
          <w:szCs w:val="22"/>
        </w:rPr>
        <w:t>volume</w:t>
      </w:r>
      <w:r w:rsidR="00C021AF">
        <w:rPr>
          <w:sz w:val="22"/>
          <w:szCs w:val="22"/>
        </w:rPr>
        <w:t xml:space="preserve"> and</w:t>
      </w:r>
      <w:r w:rsidR="00532718">
        <w:rPr>
          <w:sz w:val="22"/>
          <w:szCs w:val="22"/>
        </w:rPr>
        <w:t>,</w:t>
      </w:r>
      <w:r w:rsidR="00C021AF">
        <w:rPr>
          <w:sz w:val="22"/>
          <w:szCs w:val="22"/>
        </w:rPr>
        <w:t xml:space="preserve"> by doing so, bring the product to </w:t>
      </w:r>
      <w:r w:rsidR="00FC2680">
        <w:rPr>
          <w:sz w:val="22"/>
          <w:szCs w:val="22"/>
        </w:rPr>
        <w:t xml:space="preserve">teachers and learners who might not have had access to it </w:t>
      </w:r>
      <w:r w:rsidR="00C021AF">
        <w:rPr>
          <w:sz w:val="22"/>
          <w:szCs w:val="22"/>
        </w:rPr>
        <w:t xml:space="preserve">otherwise. </w:t>
      </w:r>
    </w:p>
    <w:p w14:paraId="5A2144F0" w14:textId="77777777" w:rsidR="00FF5320" w:rsidRDefault="00FF5320" w:rsidP="00220818">
      <w:pPr>
        <w:rPr>
          <w:sz w:val="22"/>
          <w:szCs w:val="22"/>
        </w:rPr>
      </w:pPr>
    </w:p>
    <w:p w14:paraId="4F390180" w14:textId="742C7F30" w:rsidR="00C021AF" w:rsidRDefault="00C021AF" w:rsidP="00220818">
      <w:pPr>
        <w:rPr>
          <w:sz w:val="22"/>
          <w:szCs w:val="22"/>
        </w:rPr>
      </w:pPr>
      <w:r>
        <w:rPr>
          <w:sz w:val="22"/>
          <w:szCs w:val="22"/>
        </w:rPr>
        <w:t xml:space="preserve">This is </w:t>
      </w:r>
      <w:r w:rsidR="005B16DF">
        <w:rPr>
          <w:sz w:val="22"/>
          <w:szCs w:val="22"/>
        </w:rPr>
        <w:t xml:space="preserve">already </w:t>
      </w:r>
      <w:r>
        <w:rPr>
          <w:sz w:val="22"/>
          <w:szCs w:val="22"/>
        </w:rPr>
        <w:t xml:space="preserve">happening </w:t>
      </w:r>
      <w:r w:rsidR="005B16DF">
        <w:rPr>
          <w:sz w:val="22"/>
          <w:szCs w:val="22"/>
        </w:rPr>
        <w:t xml:space="preserve">regularly with basic goods </w:t>
      </w:r>
      <w:r w:rsidR="00FC0C85">
        <w:rPr>
          <w:sz w:val="22"/>
          <w:szCs w:val="22"/>
        </w:rPr>
        <w:t xml:space="preserve">that </w:t>
      </w:r>
      <w:r w:rsidR="005B16DF">
        <w:rPr>
          <w:sz w:val="22"/>
          <w:szCs w:val="22"/>
        </w:rPr>
        <w:t>school districts acquire (</w:t>
      </w:r>
      <w:r w:rsidR="00941394">
        <w:rPr>
          <w:sz w:val="22"/>
          <w:szCs w:val="22"/>
        </w:rPr>
        <w:t>i.e.</w:t>
      </w:r>
      <w:r w:rsidR="00F921E2">
        <w:rPr>
          <w:sz w:val="22"/>
          <w:szCs w:val="22"/>
        </w:rPr>
        <w:t>,</w:t>
      </w:r>
      <w:r w:rsidR="00941394">
        <w:rPr>
          <w:sz w:val="22"/>
          <w:szCs w:val="22"/>
        </w:rPr>
        <w:t xml:space="preserve"> </w:t>
      </w:r>
      <w:r w:rsidR="005B16DF">
        <w:rPr>
          <w:sz w:val="22"/>
          <w:szCs w:val="22"/>
        </w:rPr>
        <w:t>pencils, paper, printers), and increasingly with com</w:t>
      </w:r>
      <w:r w:rsidR="00FC2680">
        <w:rPr>
          <w:sz w:val="22"/>
          <w:szCs w:val="22"/>
        </w:rPr>
        <w:t>puters and mobile devices (e.g.</w:t>
      </w:r>
      <w:r w:rsidR="001849D5">
        <w:rPr>
          <w:sz w:val="22"/>
          <w:szCs w:val="22"/>
        </w:rPr>
        <w:t>,</w:t>
      </w:r>
      <w:r w:rsidR="00FC2680">
        <w:rPr>
          <w:sz w:val="22"/>
          <w:szCs w:val="22"/>
        </w:rPr>
        <w:t xml:space="preserve"> </w:t>
      </w:r>
      <w:r w:rsidR="005B16DF">
        <w:rPr>
          <w:sz w:val="22"/>
          <w:szCs w:val="22"/>
        </w:rPr>
        <w:t>NJPA administers national contracts for computer hardware). We do</w:t>
      </w:r>
      <w:r w:rsidR="00FB7444">
        <w:rPr>
          <w:sz w:val="22"/>
          <w:szCs w:val="22"/>
        </w:rPr>
        <w:t>n’t observe</w:t>
      </w:r>
      <w:r w:rsidR="005B16DF">
        <w:rPr>
          <w:sz w:val="22"/>
          <w:szCs w:val="22"/>
        </w:rPr>
        <w:t xml:space="preserve"> cooperative purchasing happening widely yet for the acquisition of</w:t>
      </w:r>
      <w:r w:rsidR="00FB7444">
        <w:rPr>
          <w:sz w:val="22"/>
          <w:szCs w:val="22"/>
        </w:rPr>
        <w:t xml:space="preserve"> instructional software</w:t>
      </w:r>
      <w:r w:rsidR="00CD203F">
        <w:rPr>
          <w:sz w:val="22"/>
          <w:szCs w:val="22"/>
        </w:rPr>
        <w:t>. W</w:t>
      </w:r>
      <w:r w:rsidR="005B16DF">
        <w:rPr>
          <w:sz w:val="22"/>
          <w:szCs w:val="22"/>
        </w:rPr>
        <w:t>e agree that this seems like an area of opportunity</w:t>
      </w:r>
      <w:r w:rsidR="00CD203F">
        <w:rPr>
          <w:sz w:val="22"/>
          <w:szCs w:val="22"/>
        </w:rPr>
        <w:t xml:space="preserve">, as long as educators can be as nimble as they need to be in acquiring </w:t>
      </w:r>
      <w:r w:rsidR="000575D2">
        <w:rPr>
          <w:sz w:val="22"/>
          <w:szCs w:val="22"/>
        </w:rPr>
        <w:t>software products that address</w:t>
      </w:r>
      <w:r w:rsidR="00CD203F">
        <w:rPr>
          <w:sz w:val="22"/>
          <w:szCs w:val="22"/>
        </w:rPr>
        <w:t xml:space="preserve"> specific </w:t>
      </w:r>
      <w:r w:rsidR="00C60E35">
        <w:rPr>
          <w:sz w:val="22"/>
          <w:szCs w:val="22"/>
        </w:rPr>
        <w:t xml:space="preserve">learning </w:t>
      </w:r>
      <w:r w:rsidR="00CD203F">
        <w:rPr>
          <w:sz w:val="22"/>
          <w:szCs w:val="22"/>
        </w:rPr>
        <w:t xml:space="preserve">needs </w:t>
      </w:r>
      <w:r w:rsidR="00C60E35">
        <w:rPr>
          <w:sz w:val="22"/>
          <w:szCs w:val="22"/>
        </w:rPr>
        <w:t>for individual students.</w:t>
      </w:r>
    </w:p>
    <w:p w14:paraId="624E121D" w14:textId="77777777" w:rsidR="005B16DF" w:rsidRDefault="005B16DF" w:rsidP="00220818">
      <w:pPr>
        <w:rPr>
          <w:sz w:val="22"/>
          <w:szCs w:val="22"/>
        </w:rPr>
      </w:pPr>
    </w:p>
    <w:p w14:paraId="6B170259" w14:textId="4B5E540B" w:rsidR="00FF5320" w:rsidRDefault="00AF6114" w:rsidP="00220818">
      <w:pPr>
        <w:rPr>
          <w:sz w:val="22"/>
          <w:szCs w:val="22"/>
        </w:rPr>
      </w:pPr>
      <w:r>
        <w:rPr>
          <w:sz w:val="22"/>
          <w:szCs w:val="22"/>
        </w:rPr>
        <w:t xml:space="preserve">One significant </w:t>
      </w:r>
      <w:r w:rsidR="005B16DF">
        <w:rPr>
          <w:sz w:val="22"/>
          <w:szCs w:val="22"/>
        </w:rPr>
        <w:t>barrier to cooperative purchasing of instructional software</w:t>
      </w:r>
      <w:r w:rsidR="00FB7444">
        <w:rPr>
          <w:sz w:val="22"/>
          <w:szCs w:val="22"/>
        </w:rPr>
        <w:t xml:space="preserve"> at the elementary and secondary level</w:t>
      </w:r>
      <w:r w:rsidR="005B16DF">
        <w:rPr>
          <w:sz w:val="22"/>
          <w:szCs w:val="22"/>
        </w:rPr>
        <w:t xml:space="preserve"> – from digital books to fully</w:t>
      </w:r>
      <w:r w:rsidR="00532718">
        <w:rPr>
          <w:sz w:val="22"/>
          <w:szCs w:val="22"/>
        </w:rPr>
        <w:t>-</w:t>
      </w:r>
      <w:r w:rsidR="005B16DF">
        <w:rPr>
          <w:sz w:val="22"/>
          <w:szCs w:val="22"/>
        </w:rPr>
        <w:t>adaptive learning and assessment programs –</w:t>
      </w:r>
      <w:r w:rsidR="00FB7444">
        <w:rPr>
          <w:sz w:val="22"/>
          <w:szCs w:val="22"/>
        </w:rPr>
        <w:t xml:space="preserve"> is the </w:t>
      </w:r>
      <w:r w:rsidR="00A81D56">
        <w:rPr>
          <w:sz w:val="22"/>
          <w:szCs w:val="22"/>
        </w:rPr>
        <w:t>absence</w:t>
      </w:r>
      <w:r w:rsidR="00FB7444">
        <w:rPr>
          <w:sz w:val="22"/>
          <w:szCs w:val="22"/>
        </w:rPr>
        <w:t xml:space="preserve"> of a trusted</w:t>
      </w:r>
      <w:r w:rsidR="005B16DF">
        <w:rPr>
          <w:sz w:val="22"/>
          <w:szCs w:val="22"/>
        </w:rPr>
        <w:t xml:space="preserve"> online ecosystem </w:t>
      </w:r>
      <w:r>
        <w:rPr>
          <w:sz w:val="22"/>
          <w:szCs w:val="22"/>
        </w:rPr>
        <w:t>with well</w:t>
      </w:r>
      <w:r w:rsidR="001849D5">
        <w:rPr>
          <w:sz w:val="22"/>
          <w:szCs w:val="22"/>
        </w:rPr>
        <w:t>-</w:t>
      </w:r>
      <w:r>
        <w:rPr>
          <w:sz w:val="22"/>
          <w:szCs w:val="22"/>
        </w:rPr>
        <w:t>organized and continuously</w:t>
      </w:r>
      <w:r w:rsidR="00532718">
        <w:rPr>
          <w:sz w:val="22"/>
          <w:szCs w:val="22"/>
        </w:rPr>
        <w:t>-</w:t>
      </w:r>
      <w:r>
        <w:rPr>
          <w:sz w:val="22"/>
          <w:szCs w:val="22"/>
        </w:rPr>
        <w:t>updated information</w:t>
      </w:r>
      <w:r w:rsidR="00532718">
        <w:rPr>
          <w:sz w:val="22"/>
          <w:szCs w:val="22"/>
        </w:rPr>
        <w:t>. This type of online resource would help districts identify appropriate and promising products by providing them with</w:t>
      </w:r>
      <w:r>
        <w:rPr>
          <w:sz w:val="22"/>
          <w:szCs w:val="22"/>
        </w:rPr>
        <w:t xml:space="preserve"> product descriptions, </w:t>
      </w:r>
      <w:r w:rsidR="00D234C4">
        <w:rPr>
          <w:sz w:val="22"/>
          <w:szCs w:val="22"/>
        </w:rPr>
        <w:t xml:space="preserve">features, </w:t>
      </w:r>
      <w:r w:rsidR="004050FF">
        <w:rPr>
          <w:sz w:val="22"/>
          <w:szCs w:val="22"/>
        </w:rPr>
        <w:t xml:space="preserve">recommended usage, </w:t>
      </w:r>
      <w:r w:rsidR="00D234C4">
        <w:rPr>
          <w:sz w:val="22"/>
          <w:szCs w:val="22"/>
        </w:rPr>
        <w:t xml:space="preserve">pricing, </w:t>
      </w:r>
      <w:r w:rsidR="004050FF">
        <w:rPr>
          <w:sz w:val="22"/>
          <w:szCs w:val="22"/>
        </w:rPr>
        <w:t xml:space="preserve">associated </w:t>
      </w:r>
      <w:r>
        <w:rPr>
          <w:sz w:val="22"/>
          <w:szCs w:val="22"/>
        </w:rPr>
        <w:t xml:space="preserve">research, expert and user reviews and ratings, case studies, purchasing patterns, </w:t>
      </w:r>
      <w:r w:rsidR="004050FF">
        <w:rPr>
          <w:sz w:val="22"/>
          <w:szCs w:val="22"/>
        </w:rPr>
        <w:t>and more</w:t>
      </w:r>
      <w:r w:rsidR="00532718">
        <w:rPr>
          <w:sz w:val="22"/>
          <w:szCs w:val="22"/>
        </w:rPr>
        <w:t>.</w:t>
      </w:r>
      <w:r w:rsidR="005B16DF">
        <w:rPr>
          <w:sz w:val="22"/>
          <w:szCs w:val="22"/>
        </w:rPr>
        <w:t xml:space="preserve"> </w:t>
      </w:r>
    </w:p>
    <w:p w14:paraId="68A2D050" w14:textId="77777777" w:rsidR="00FF5320" w:rsidRDefault="00FF5320" w:rsidP="00220818">
      <w:pPr>
        <w:rPr>
          <w:sz w:val="22"/>
          <w:szCs w:val="22"/>
        </w:rPr>
      </w:pPr>
    </w:p>
    <w:p w14:paraId="6819DFD0" w14:textId="4242EE3C" w:rsidR="005B16DF" w:rsidRDefault="004050FF" w:rsidP="00220818">
      <w:pPr>
        <w:rPr>
          <w:sz w:val="22"/>
          <w:szCs w:val="22"/>
        </w:rPr>
      </w:pPr>
      <w:r>
        <w:rPr>
          <w:sz w:val="22"/>
          <w:szCs w:val="22"/>
        </w:rPr>
        <w:t>If such an ecosystem were designed and deployed, purchasers could</w:t>
      </w:r>
      <w:r w:rsidR="00FB7444">
        <w:rPr>
          <w:sz w:val="22"/>
          <w:szCs w:val="22"/>
        </w:rPr>
        <w:t xml:space="preserve"> self-organize into groups for acquiring these products</w:t>
      </w:r>
      <w:r w:rsidR="007076BD">
        <w:rPr>
          <w:sz w:val="22"/>
          <w:szCs w:val="22"/>
        </w:rPr>
        <w:t xml:space="preserve"> together</w:t>
      </w:r>
      <w:r w:rsidR="00FB7444">
        <w:rPr>
          <w:sz w:val="22"/>
          <w:szCs w:val="22"/>
        </w:rPr>
        <w:t xml:space="preserve">. </w:t>
      </w:r>
      <w:r>
        <w:rPr>
          <w:sz w:val="22"/>
          <w:szCs w:val="22"/>
        </w:rPr>
        <w:t>For example, s</w:t>
      </w:r>
      <w:r w:rsidR="00FB7444">
        <w:rPr>
          <w:sz w:val="22"/>
          <w:szCs w:val="22"/>
        </w:rPr>
        <w:t xml:space="preserve">chool districts with similar characteristics and similar instructional needs </w:t>
      </w:r>
      <w:r w:rsidR="00350F0E">
        <w:rPr>
          <w:sz w:val="22"/>
          <w:szCs w:val="22"/>
        </w:rPr>
        <w:t xml:space="preserve">that are </w:t>
      </w:r>
      <w:r w:rsidR="00FB7444">
        <w:rPr>
          <w:sz w:val="22"/>
          <w:szCs w:val="22"/>
        </w:rPr>
        <w:t xml:space="preserve">looking for instructional software </w:t>
      </w:r>
      <w:r>
        <w:rPr>
          <w:sz w:val="22"/>
          <w:szCs w:val="22"/>
        </w:rPr>
        <w:t xml:space="preserve">could </w:t>
      </w:r>
      <w:r w:rsidR="00FB7444">
        <w:rPr>
          <w:sz w:val="22"/>
          <w:szCs w:val="22"/>
        </w:rPr>
        <w:t>connect with one another</w:t>
      </w:r>
      <w:r w:rsidR="001500D6">
        <w:rPr>
          <w:sz w:val="22"/>
          <w:szCs w:val="22"/>
        </w:rPr>
        <w:t>,</w:t>
      </w:r>
      <w:r w:rsidR="00FB7444">
        <w:rPr>
          <w:sz w:val="22"/>
          <w:szCs w:val="22"/>
        </w:rPr>
        <w:t xml:space="preserve"> collaboratively develop product preferences and purchasing procedures (RFPs, sole-source contracts, etc.)</w:t>
      </w:r>
      <w:r w:rsidR="001500D6">
        <w:rPr>
          <w:sz w:val="22"/>
          <w:szCs w:val="22"/>
        </w:rPr>
        <w:t>,</w:t>
      </w:r>
      <w:r w:rsidR="00FB7444">
        <w:rPr>
          <w:sz w:val="22"/>
          <w:szCs w:val="22"/>
        </w:rPr>
        <w:t xml:space="preserve"> and leverage collective buying power. </w:t>
      </w:r>
    </w:p>
    <w:p w14:paraId="473668F6" w14:textId="77777777" w:rsidR="00FB7444" w:rsidRDefault="00FB7444" w:rsidP="00220818">
      <w:pPr>
        <w:rPr>
          <w:sz w:val="22"/>
          <w:szCs w:val="22"/>
        </w:rPr>
      </w:pPr>
    </w:p>
    <w:p w14:paraId="0D6591CB" w14:textId="5FDB3128" w:rsidR="00FB7444" w:rsidRDefault="001500D6" w:rsidP="00220818">
      <w:pPr>
        <w:rPr>
          <w:sz w:val="22"/>
          <w:szCs w:val="22"/>
        </w:rPr>
      </w:pPr>
      <w:r>
        <w:rPr>
          <w:sz w:val="22"/>
          <w:szCs w:val="22"/>
        </w:rPr>
        <w:t>A</w:t>
      </w:r>
      <w:r w:rsidR="00FC2680">
        <w:rPr>
          <w:sz w:val="22"/>
          <w:szCs w:val="22"/>
        </w:rPr>
        <w:t xml:space="preserve">s with </w:t>
      </w:r>
      <w:r w:rsidR="00C143D8">
        <w:rPr>
          <w:sz w:val="22"/>
          <w:szCs w:val="22"/>
        </w:rPr>
        <w:t>other types of pull mechanisms,</w:t>
      </w:r>
      <w:r>
        <w:rPr>
          <w:sz w:val="22"/>
          <w:szCs w:val="22"/>
        </w:rPr>
        <w:t xml:space="preserve"> cooperative purchasing of instructional software cannot happen</w:t>
      </w:r>
      <w:r w:rsidR="00C143D8">
        <w:rPr>
          <w:sz w:val="22"/>
          <w:szCs w:val="22"/>
        </w:rPr>
        <w:t xml:space="preserve"> </w:t>
      </w:r>
      <w:r w:rsidR="00FB7444">
        <w:rPr>
          <w:sz w:val="22"/>
          <w:szCs w:val="22"/>
        </w:rPr>
        <w:t xml:space="preserve">if state, municipal, or district policies get in the way. </w:t>
      </w:r>
    </w:p>
    <w:p w14:paraId="75BB6990" w14:textId="58BE1E72" w:rsidR="00D44198" w:rsidRPr="00C914B1" w:rsidRDefault="00993C27" w:rsidP="00993C27">
      <w:pPr>
        <w:pStyle w:val="Heading2"/>
        <w:rPr>
          <w:rFonts w:asciiTheme="minorHAnsi" w:hAnsiTheme="minorHAnsi"/>
          <w:sz w:val="22"/>
          <w:szCs w:val="22"/>
        </w:rPr>
      </w:pPr>
      <w:r w:rsidRPr="00C914B1">
        <w:rPr>
          <w:rFonts w:asciiTheme="minorHAnsi" w:hAnsiTheme="minorHAnsi"/>
          <w:sz w:val="22"/>
          <w:szCs w:val="22"/>
        </w:rPr>
        <w:t>Grand Challenges</w:t>
      </w:r>
      <w:r w:rsidR="001352DB">
        <w:rPr>
          <w:rFonts w:asciiTheme="minorHAnsi" w:hAnsiTheme="minorHAnsi"/>
          <w:sz w:val="22"/>
          <w:szCs w:val="22"/>
        </w:rPr>
        <w:t>:</w:t>
      </w:r>
      <w:r w:rsidR="007D37FB">
        <w:rPr>
          <w:rFonts w:asciiTheme="minorHAnsi" w:hAnsiTheme="minorHAnsi"/>
          <w:sz w:val="22"/>
          <w:szCs w:val="22"/>
        </w:rPr>
        <w:t xml:space="preserve"> Seeking Fresh Solutions</w:t>
      </w:r>
    </w:p>
    <w:p w14:paraId="0C93E67F" w14:textId="77777777" w:rsidR="00993C27" w:rsidRPr="00C914B1" w:rsidRDefault="00993C27" w:rsidP="00220818">
      <w:pPr>
        <w:rPr>
          <w:sz w:val="22"/>
          <w:szCs w:val="22"/>
        </w:rPr>
      </w:pPr>
    </w:p>
    <w:p w14:paraId="39F78BFF" w14:textId="54913F29" w:rsidR="00872380" w:rsidRPr="00707625" w:rsidRDefault="00967A53" w:rsidP="00220818">
      <w:pPr>
        <w:rPr>
          <w:sz w:val="22"/>
          <w:szCs w:val="22"/>
        </w:rPr>
      </w:pPr>
      <w:r w:rsidRPr="00707625">
        <w:rPr>
          <w:sz w:val="22"/>
          <w:szCs w:val="22"/>
        </w:rPr>
        <w:t>T</w:t>
      </w:r>
      <w:r w:rsidR="00993C27" w:rsidRPr="00707625">
        <w:rPr>
          <w:sz w:val="22"/>
          <w:szCs w:val="22"/>
        </w:rPr>
        <w:t xml:space="preserve">here are many </w:t>
      </w:r>
      <w:r w:rsidR="004B6A0A" w:rsidRPr="00707625">
        <w:rPr>
          <w:sz w:val="22"/>
          <w:szCs w:val="22"/>
        </w:rPr>
        <w:t xml:space="preserve">critical </w:t>
      </w:r>
      <w:r w:rsidR="00872380" w:rsidRPr="00707625">
        <w:rPr>
          <w:sz w:val="22"/>
          <w:szCs w:val="22"/>
        </w:rPr>
        <w:t xml:space="preserve">educational </w:t>
      </w:r>
      <w:r w:rsidR="004B6A0A" w:rsidRPr="00707625">
        <w:rPr>
          <w:sz w:val="22"/>
          <w:szCs w:val="22"/>
        </w:rPr>
        <w:t xml:space="preserve">needs that stand to benefit from </w:t>
      </w:r>
      <w:r w:rsidR="007926E2" w:rsidRPr="00707625">
        <w:rPr>
          <w:sz w:val="22"/>
          <w:szCs w:val="22"/>
        </w:rPr>
        <w:t>cutting</w:t>
      </w:r>
      <w:r w:rsidR="00CC63FB">
        <w:rPr>
          <w:sz w:val="22"/>
          <w:szCs w:val="22"/>
        </w:rPr>
        <w:t>-</w:t>
      </w:r>
      <w:r w:rsidR="007926E2" w:rsidRPr="00707625">
        <w:rPr>
          <w:sz w:val="22"/>
          <w:szCs w:val="22"/>
        </w:rPr>
        <w:t>edge, high</w:t>
      </w:r>
      <w:r w:rsidR="00CC63FB">
        <w:rPr>
          <w:sz w:val="22"/>
          <w:szCs w:val="22"/>
        </w:rPr>
        <w:t>-</w:t>
      </w:r>
      <w:r w:rsidR="007926E2" w:rsidRPr="00707625">
        <w:rPr>
          <w:sz w:val="22"/>
          <w:szCs w:val="22"/>
        </w:rPr>
        <w:t>quality</w:t>
      </w:r>
      <w:r w:rsidR="00530F5D">
        <w:rPr>
          <w:sz w:val="22"/>
          <w:szCs w:val="22"/>
        </w:rPr>
        <w:t>,</w:t>
      </w:r>
      <w:r w:rsidR="007926E2" w:rsidRPr="00707625">
        <w:rPr>
          <w:sz w:val="22"/>
          <w:szCs w:val="22"/>
        </w:rPr>
        <w:t xml:space="preserve"> </w:t>
      </w:r>
      <w:r w:rsidR="00B52553">
        <w:rPr>
          <w:sz w:val="22"/>
          <w:szCs w:val="22"/>
        </w:rPr>
        <w:t xml:space="preserve">and </w:t>
      </w:r>
      <w:r w:rsidR="004050FF">
        <w:rPr>
          <w:sz w:val="22"/>
          <w:szCs w:val="22"/>
        </w:rPr>
        <w:t>high</w:t>
      </w:r>
      <w:r w:rsidR="00CC63FB">
        <w:rPr>
          <w:sz w:val="22"/>
          <w:szCs w:val="22"/>
        </w:rPr>
        <w:t>-</w:t>
      </w:r>
      <w:r w:rsidR="004050FF">
        <w:rPr>
          <w:sz w:val="22"/>
          <w:szCs w:val="22"/>
        </w:rPr>
        <w:t>impact</w:t>
      </w:r>
      <w:r w:rsidR="004050FF" w:rsidRPr="00707625">
        <w:rPr>
          <w:sz w:val="22"/>
          <w:szCs w:val="22"/>
        </w:rPr>
        <w:t xml:space="preserve"> </w:t>
      </w:r>
      <w:r w:rsidR="007926E2" w:rsidRPr="00707625">
        <w:rPr>
          <w:sz w:val="22"/>
          <w:szCs w:val="22"/>
        </w:rPr>
        <w:t>innovations</w:t>
      </w:r>
      <w:r w:rsidRPr="00707625">
        <w:rPr>
          <w:sz w:val="22"/>
          <w:szCs w:val="22"/>
        </w:rPr>
        <w:t xml:space="preserve">. </w:t>
      </w:r>
      <w:r w:rsidR="00B52553">
        <w:rPr>
          <w:sz w:val="22"/>
          <w:szCs w:val="22"/>
        </w:rPr>
        <w:t>Digital Promise</w:t>
      </w:r>
      <w:r w:rsidRPr="00707625">
        <w:rPr>
          <w:sz w:val="22"/>
          <w:szCs w:val="22"/>
        </w:rPr>
        <w:t xml:space="preserve"> </w:t>
      </w:r>
      <w:r w:rsidR="00B52553">
        <w:rPr>
          <w:sz w:val="22"/>
          <w:szCs w:val="22"/>
        </w:rPr>
        <w:t>suggests</w:t>
      </w:r>
      <w:r w:rsidRPr="00707625">
        <w:rPr>
          <w:sz w:val="22"/>
          <w:szCs w:val="22"/>
        </w:rPr>
        <w:t xml:space="preserve"> particular </w:t>
      </w:r>
      <w:r w:rsidR="00FC0C85">
        <w:rPr>
          <w:sz w:val="22"/>
          <w:szCs w:val="22"/>
        </w:rPr>
        <w:t xml:space="preserve">educational </w:t>
      </w:r>
      <w:r w:rsidRPr="00707625">
        <w:rPr>
          <w:sz w:val="22"/>
          <w:szCs w:val="22"/>
        </w:rPr>
        <w:t>needs in t</w:t>
      </w:r>
      <w:r w:rsidR="004B6A0A" w:rsidRPr="00707625">
        <w:rPr>
          <w:sz w:val="22"/>
          <w:szCs w:val="22"/>
        </w:rPr>
        <w:t xml:space="preserve">his </w:t>
      </w:r>
      <w:r w:rsidRPr="00707625">
        <w:rPr>
          <w:sz w:val="22"/>
          <w:szCs w:val="22"/>
        </w:rPr>
        <w:t xml:space="preserve">brief </w:t>
      </w:r>
      <w:r w:rsidR="004B6A0A" w:rsidRPr="00707625">
        <w:rPr>
          <w:sz w:val="22"/>
          <w:szCs w:val="22"/>
        </w:rPr>
        <w:t xml:space="preserve">list </w:t>
      </w:r>
      <w:r w:rsidR="008F7FF4">
        <w:rPr>
          <w:sz w:val="22"/>
          <w:szCs w:val="22"/>
        </w:rPr>
        <w:t>not to ex</w:t>
      </w:r>
      <w:r w:rsidR="002B20E1" w:rsidRPr="00707625">
        <w:rPr>
          <w:sz w:val="22"/>
          <w:szCs w:val="22"/>
        </w:rPr>
        <w:t>clude</w:t>
      </w:r>
      <w:r w:rsidR="00FC0C85">
        <w:rPr>
          <w:sz w:val="22"/>
          <w:szCs w:val="22"/>
        </w:rPr>
        <w:t xml:space="preserve"> others, but to illustrate the kinds of </w:t>
      </w:r>
      <w:r w:rsidR="00FC0C85" w:rsidRPr="007D37FB">
        <w:rPr>
          <w:sz w:val="22"/>
          <w:szCs w:val="22"/>
        </w:rPr>
        <w:t>target</w:t>
      </w:r>
      <w:r w:rsidR="00326BE5">
        <w:rPr>
          <w:sz w:val="22"/>
          <w:szCs w:val="22"/>
        </w:rPr>
        <w:t>ed</w:t>
      </w:r>
      <w:r w:rsidR="00FC0C85">
        <w:rPr>
          <w:sz w:val="22"/>
          <w:szCs w:val="22"/>
        </w:rPr>
        <w:t xml:space="preserve"> learning outcomes that </w:t>
      </w:r>
      <w:r w:rsidR="00B52553">
        <w:rPr>
          <w:sz w:val="22"/>
          <w:szCs w:val="22"/>
        </w:rPr>
        <w:t xml:space="preserve">would be </w:t>
      </w:r>
      <w:r w:rsidR="00FC0C85">
        <w:rPr>
          <w:sz w:val="22"/>
          <w:szCs w:val="22"/>
        </w:rPr>
        <w:t>good candidates for the introduction of pull mechanisms</w:t>
      </w:r>
      <w:r w:rsidR="00B52553">
        <w:rPr>
          <w:sz w:val="22"/>
          <w:szCs w:val="22"/>
        </w:rPr>
        <w:t xml:space="preserve"> </w:t>
      </w:r>
      <w:r w:rsidR="00FC0C85">
        <w:rPr>
          <w:sz w:val="22"/>
          <w:szCs w:val="22"/>
        </w:rPr>
        <w:t xml:space="preserve">because </w:t>
      </w:r>
      <w:r w:rsidR="004B6A0A" w:rsidRPr="00707625">
        <w:rPr>
          <w:sz w:val="22"/>
          <w:szCs w:val="22"/>
        </w:rPr>
        <w:t>of the tremendous sc</w:t>
      </w:r>
      <w:r w:rsidR="00D85409">
        <w:rPr>
          <w:sz w:val="22"/>
          <w:szCs w:val="22"/>
        </w:rPr>
        <w:t>al</w:t>
      </w:r>
      <w:r w:rsidR="004B6A0A" w:rsidRPr="00707625">
        <w:rPr>
          <w:sz w:val="22"/>
          <w:szCs w:val="22"/>
        </w:rPr>
        <w:t>e of need and the availability of concrete success metrics</w:t>
      </w:r>
      <w:r w:rsidR="00872380" w:rsidRPr="00707625">
        <w:rPr>
          <w:sz w:val="22"/>
          <w:szCs w:val="22"/>
        </w:rPr>
        <w:t>:</w:t>
      </w:r>
    </w:p>
    <w:p w14:paraId="5EEE6E4E" w14:textId="43A764A2" w:rsidR="00993C27" w:rsidRPr="00707625" w:rsidRDefault="00872380" w:rsidP="00872380">
      <w:pPr>
        <w:pStyle w:val="ListParagraph"/>
        <w:numPr>
          <w:ilvl w:val="0"/>
          <w:numId w:val="18"/>
        </w:numPr>
        <w:rPr>
          <w:sz w:val="22"/>
          <w:szCs w:val="22"/>
        </w:rPr>
      </w:pPr>
      <w:r w:rsidRPr="00707625">
        <w:rPr>
          <w:sz w:val="22"/>
          <w:szCs w:val="22"/>
        </w:rPr>
        <w:t xml:space="preserve">Increasing access to and </w:t>
      </w:r>
      <w:r w:rsidR="00241302" w:rsidRPr="00707625">
        <w:rPr>
          <w:sz w:val="22"/>
          <w:szCs w:val="22"/>
        </w:rPr>
        <w:t xml:space="preserve">improving </w:t>
      </w:r>
      <w:r w:rsidRPr="00707625">
        <w:rPr>
          <w:sz w:val="22"/>
          <w:szCs w:val="22"/>
        </w:rPr>
        <w:t xml:space="preserve">outcomes </w:t>
      </w:r>
      <w:r w:rsidR="00CC712E" w:rsidRPr="00707625">
        <w:rPr>
          <w:sz w:val="22"/>
          <w:szCs w:val="22"/>
        </w:rPr>
        <w:t>in</w:t>
      </w:r>
      <w:r w:rsidRPr="00707625">
        <w:rPr>
          <w:sz w:val="22"/>
          <w:szCs w:val="22"/>
        </w:rPr>
        <w:t xml:space="preserve"> </w:t>
      </w:r>
      <w:r w:rsidR="00426B56">
        <w:rPr>
          <w:sz w:val="22"/>
          <w:szCs w:val="22"/>
        </w:rPr>
        <w:t>a</w:t>
      </w:r>
      <w:r w:rsidRPr="00707625">
        <w:rPr>
          <w:sz w:val="22"/>
          <w:szCs w:val="22"/>
        </w:rPr>
        <w:t xml:space="preserve">dult </w:t>
      </w:r>
      <w:r w:rsidR="00426B56">
        <w:rPr>
          <w:sz w:val="22"/>
          <w:szCs w:val="22"/>
        </w:rPr>
        <w:t>e</w:t>
      </w:r>
      <w:r w:rsidRPr="00707625">
        <w:rPr>
          <w:sz w:val="22"/>
          <w:szCs w:val="22"/>
        </w:rPr>
        <w:t>ducation</w:t>
      </w:r>
      <w:r w:rsidR="00426B56">
        <w:rPr>
          <w:sz w:val="22"/>
          <w:szCs w:val="22"/>
        </w:rPr>
        <w:t>.</w:t>
      </w:r>
      <w:r w:rsidR="004B6A0A" w:rsidRPr="00707625">
        <w:rPr>
          <w:sz w:val="22"/>
          <w:szCs w:val="22"/>
        </w:rPr>
        <w:t xml:space="preserve"> </w:t>
      </w:r>
    </w:p>
    <w:p w14:paraId="7A8BCA3C" w14:textId="1A678CFE" w:rsidR="00872380" w:rsidRPr="00707625" w:rsidRDefault="0072087C" w:rsidP="00872380">
      <w:pPr>
        <w:pStyle w:val="ListParagraph"/>
        <w:numPr>
          <w:ilvl w:val="0"/>
          <w:numId w:val="18"/>
        </w:numPr>
        <w:rPr>
          <w:sz w:val="22"/>
          <w:szCs w:val="22"/>
        </w:rPr>
      </w:pPr>
      <w:r w:rsidRPr="00707625">
        <w:rPr>
          <w:sz w:val="22"/>
          <w:szCs w:val="22"/>
        </w:rPr>
        <w:t xml:space="preserve">Improving </w:t>
      </w:r>
      <w:r w:rsidR="00872380" w:rsidRPr="00707625">
        <w:rPr>
          <w:sz w:val="22"/>
          <w:szCs w:val="22"/>
        </w:rPr>
        <w:t xml:space="preserve">English </w:t>
      </w:r>
      <w:r w:rsidR="00426B56">
        <w:rPr>
          <w:sz w:val="22"/>
          <w:szCs w:val="22"/>
        </w:rPr>
        <w:t>l</w:t>
      </w:r>
      <w:r w:rsidR="00872380" w:rsidRPr="00707625">
        <w:rPr>
          <w:sz w:val="22"/>
          <w:szCs w:val="22"/>
        </w:rPr>
        <w:t xml:space="preserve">anguage </w:t>
      </w:r>
      <w:r w:rsidR="00426B56">
        <w:rPr>
          <w:sz w:val="22"/>
          <w:szCs w:val="22"/>
        </w:rPr>
        <w:t>p</w:t>
      </w:r>
      <w:r w:rsidR="00872380" w:rsidRPr="00707625">
        <w:rPr>
          <w:sz w:val="22"/>
          <w:szCs w:val="22"/>
        </w:rPr>
        <w:t>roficienc</w:t>
      </w:r>
      <w:r w:rsidRPr="00707625">
        <w:rPr>
          <w:sz w:val="22"/>
          <w:szCs w:val="22"/>
        </w:rPr>
        <w:t xml:space="preserve">y for English </w:t>
      </w:r>
      <w:r w:rsidR="00426B56">
        <w:rPr>
          <w:sz w:val="22"/>
          <w:szCs w:val="22"/>
        </w:rPr>
        <w:t>l</w:t>
      </w:r>
      <w:r w:rsidRPr="00707625">
        <w:rPr>
          <w:sz w:val="22"/>
          <w:szCs w:val="22"/>
        </w:rPr>
        <w:t>earners</w:t>
      </w:r>
      <w:r w:rsidR="00426B56">
        <w:rPr>
          <w:sz w:val="22"/>
          <w:szCs w:val="22"/>
        </w:rPr>
        <w:t>.</w:t>
      </w:r>
    </w:p>
    <w:p w14:paraId="683111A8" w14:textId="55A221EC" w:rsidR="0072087C" w:rsidRPr="00707625" w:rsidRDefault="0072087C" w:rsidP="00872380">
      <w:pPr>
        <w:pStyle w:val="ListParagraph"/>
        <w:numPr>
          <w:ilvl w:val="0"/>
          <w:numId w:val="18"/>
        </w:numPr>
        <w:rPr>
          <w:sz w:val="22"/>
          <w:szCs w:val="22"/>
        </w:rPr>
      </w:pPr>
      <w:r w:rsidRPr="00707625">
        <w:rPr>
          <w:sz w:val="22"/>
          <w:szCs w:val="22"/>
        </w:rPr>
        <w:t>Increasing passage rates for math placement tests and developmental math coursework at postsecondary institutions.</w:t>
      </w:r>
    </w:p>
    <w:p w14:paraId="4B02DB43" w14:textId="77777777" w:rsidR="00E81B11" w:rsidRDefault="00E81B11" w:rsidP="00E81B11">
      <w:pPr>
        <w:pStyle w:val="Heading2"/>
        <w:spacing w:before="0" w:after="120"/>
        <w:rPr>
          <w:rFonts w:asciiTheme="minorHAnsi" w:hAnsiTheme="minorHAnsi"/>
          <w:sz w:val="22"/>
          <w:szCs w:val="22"/>
        </w:rPr>
      </w:pPr>
      <w:r w:rsidRPr="00E81B11">
        <w:rPr>
          <w:rFonts w:asciiTheme="minorHAnsi" w:hAnsiTheme="minorHAnsi"/>
          <w:sz w:val="22"/>
          <w:szCs w:val="22"/>
        </w:rPr>
        <w:t xml:space="preserve"> </w:t>
      </w:r>
    </w:p>
    <w:p w14:paraId="668EB59A" w14:textId="47A26B63" w:rsidR="00E81B11" w:rsidRPr="00CC63FB" w:rsidRDefault="00E81B11" w:rsidP="00E81B11">
      <w:pPr>
        <w:pStyle w:val="Heading2"/>
        <w:spacing w:before="0" w:after="120"/>
        <w:rPr>
          <w:rFonts w:asciiTheme="minorHAnsi" w:hAnsiTheme="minorHAnsi"/>
          <w:sz w:val="22"/>
          <w:szCs w:val="22"/>
        </w:rPr>
      </w:pPr>
      <w:r>
        <w:rPr>
          <w:rFonts w:asciiTheme="minorHAnsi" w:hAnsiTheme="minorHAnsi"/>
          <w:sz w:val="22"/>
          <w:szCs w:val="22"/>
        </w:rPr>
        <w:t xml:space="preserve">Grand Challenge 1: </w:t>
      </w:r>
      <w:r w:rsidRPr="00CC63FB">
        <w:rPr>
          <w:rFonts w:asciiTheme="minorHAnsi" w:hAnsiTheme="minorHAnsi"/>
          <w:sz w:val="22"/>
          <w:szCs w:val="22"/>
        </w:rPr>
        <w:t>Adult Education</w:t>
      </w:r>
    </w:p>
    <w:p w14:paraId="0BD9B648" w14:textId="7CCB075A" w:rsidR="00E81B11" w:rsidRPr="00C914B1" w:rsidRDefault="00E81B11" w:rsidP="00E81B11">
      <w:pPr>
        <w:widowControl w:val="0"/>
        <w:autoSpaceDE w:val="0"/>
        <w:autoSpaceDN w:val="0"/>
        <w:adjustRightInd w:val="0"/>
        <w:spacing w:after="120"/>
        <w:rPr>
          <w:sz w:val="22"/>
          <w:szCs w:val="22"/>
        </w:rPr>
      </w:pPr>
      <w:r w:rsidRPr="00C914B1">
        <w:rPr>
          <w:rFonts w:ascii="Cambria" w:hAnsi="Cambria"/>
          <w:sz w:val="22"/>
          <w:szCs w:val="22"/>
        </w:rPr>
        <w:t>Last October</w:t>
      </w:r>
      <w:r w:rsidRPr="00C914B1">
        <w:rPr>
          <w:rFonts w:ascii="Cambria" w:hAnsi="Cambria" w:cs="Calibri"/>
          <w:sz w:val="22"/>
          <w:szCs w:val="22"/>
        </w:rPr>
        <w:t xml:space="preserve">, </w:t>
      </w:r>
      <w:r w:rsidRPr="007D37FB">
        <w:rPr>
          <w:rFonts w:ascii="Cambria" w:hAnsi="Cambria" w:cs="Calibri"/>
          <w:sz w:val="22"/>
          <w:szCs w:val="22"/>
        </w:rPr>
        <w:t>the Organisation</w:t>
      </w:r>
      <w:r w:rsidRPr="00C914B1">
        <w:rPr>
          <w:rFonts w:ascii="Cambria" w:hAnsi="Cambria" w:cs="Calibri"/>
          <w:sz w:val="22"/>
          <w:szCs w:val="22"/>
        </w:rPr>
        <w:t xml:space="preserve"> for Economic Co-operation and Development (OECD) released the results of an international survey of adult skills that is part of the Program for International Assessment of Adult Competencies (PIAAC).</w:t>
      </w:r>
      <w:r w:rsidRPr="00C914B1">
        <w:rPr>
          <w:rStyle w:val="FootnoteReference"/>
          <w:rFonts w:ascii="Cambria" w:hAnsi="Cambria" w:cs="Calibri"/>
          <w:sz w:val="22"/>
          <w:szCs w:val="22"/>
        </w:rPr>
        <w:footnoteReference w:id="2"/>
      </w:r>
      <w:r w:rsidRPr="00C914B1">
        <w:rPr>
          <w:rFonts w:ascii="Cambria" w:hAnsi="Cambria" w:cs="Times"/>
          <w:sz w:val="22"/>
          <w:szCs w:val="22"/>
        </w:rPr>
        <w:t xml:space="preserve"> </w:t>
      </w:r>
      <w:r w:rsidRPr="00C914B1">
        <w:rPr>
          <w:sz w:val="22"/>
          <w:szCs w:val="22"/>
        </w:rPr>
        <w:t xml:space="preserve">The findings shined a spotlight on the large number of adults </w:t>
      </w:r>
      <w:r>
        <w:rPr>
          <w:sz w:val="22"/>
          <w:szCs w:val="22"/>
        </w:rPr>
        <w:t xml:space="preserve">in the U.S. </w:t>
      </w:r>
      <w:r w:rsidRPr="00C914B1">
        <w:rPr>
          <w:sz w:val="22"/>
          <w:szCs w:val="22"/>
        </w:rPr>
        <w:t xml:space="preserve">with low basic </w:t>
      </w:r>
      <w:r>
        <w:rPr>
          <w:sz w:val="22"/>
          <w:szCs w:val="22"/>
        </w:rPr>
        <w:t xml:space="preserve">literacy </w:t>
      </w:r>
      <w:r w:rsidRPr="00C914B1">
        <w:rPr>
          <w:sz w:val="22"/>
          <w:szCs w:val="22"/>
        </w:rPr>
        <w:t>skills</w:t>
      </w:r>
      <w:r>
        <w:rPr>
          <w:sz w:val="22"/>
          <w:szCs w:val="22"/>
        </w:rPr>
        <w:t xml:space="preserve"> – </w:t>
      </w:r>
      <w:r w:rsidRPr="00C914B1">
        <w:rPr>
          <w:sz w:val="22"/>
          <w:szCs w:val="22"/>
        </w:rPr>
        <w:t>roughly 18</w:t>
      </w:r>
      <w:r w:rsidR="00BA31FB">
        <w:rPr>
          <w:sz w:val="22"/>
          <w:szCs w:val="22"/>
        </w:rPr>
        <w:t xml:space="preserve"> percent</w:t>
      </w:r>
      <w:r w:rsidRPr="00C914B1">
        <w:rPr>
          <w:sz w:val="22"/>
          <w:szCs w:val="22"/>
        </w:rPr>
        <w:t xml:space="preserve"> of the adult population, or 36 million people. </w:t>
      </w:r>
      <w:r>
        <w:rPr>
          <w:sz w:val="22"/>
          <w:szCs w:val="22"/>
        </w:rPr>
        <w:t>In addition, n</w:t>
      </w:r>
      <w:r w:rsidRPr="00C914B1">
        <w:rPr>
          <w:sz w:val="22"/>
          <w:szCs w:val="22"/>
        </w:rPr>
        <w:t xml:space="preserve">early one in three </w:t>
      </w:r>
      <w:r>
        <w:rPr>
          <w:sz w:val="22"/>
          <w:szCs w:val="22"/>
        </w:rPr>
        <w:t xml:space="preserve">U.S. adults </w:t>
      </w:r>
      <w:r w:rsidRPr="00C914B1">
        <w:rPr>
          <w:sz w:val="22"/>
          <w:szCs w:val="22"/>
        </w:rPr>
        <w:t xml:space="preserve">have poor </w:t>
      </w:r>
      <w:r>
        <w:rPr>
          <w:sz w:val="22"/>
          <w:szCs w:val="22"/>
        </w:rPr>
        <w:t>math</w:t>
      </w:r>
      <w:r w:rsidRPr="00C914B1">
        <w:rPr>
          <w:sz w:val="22"/>
          <w:szCs w:val="22"/>
        </w:rPr>
        <w:t xml:space="preserve"> skills.</w:t>
      </w:r>
    </w:p>
    <w:p w14:paraId="3A3299C2" w14:textId="3BA642EE" w:rsidR="00E81B11" w:rsidRDefault="00E81B11" w:rsidP="00E81B11">
      <w:pPr>
        <w:widowControl w:val="0"/>
        <w:autoSpaceDE w:val="0"/>
        <w:autoSpaceDN w:val="0"/>
        <w:adjustRightInd w:val="0"/>
        <w:spacing w:after="120"/>
        <w:rPr>
          <w:rFonts w:ascii="Cambria" w:hAnsi="Cambria"/>
          <w:sz w:val="22"/>
          <w:szCs w:val="22"/>
        </w:rPr>
      </w:pPr>
      <w:r>
        <w:rPr>
          <w:rFonts w:ascii="Cambria" w:hAnsi="Cambria"/>
          <w:sz w:val="22"/>
          <w:szCs w:val="22"/>
        </w:rPr>
        <w:t>Further</w:t>
      </w:r>
      <w:r w:rsidRPr="00C914B1">
        <w:rPr>
          <w:rFonts w:ascii="Cambria" w:hAnsi="Cambria"/>
          <w:sz w:val="22"/>
          <w:szCs w:val="22"/>
        </w:rPr>
        <w:t xml:space="preserve"> analysis of the U.S. PIAAC results commissioned by the U.S. Department of Education</w:t>
      </w:r>
      <w:r w:rsidRPr="00C914B1">
        <w:rPr>
          <w:rStyle w:val="FootnoteReference"/>
          <w:rFonts w:ascii="Cambria" w:hAnsi="Cambria"/>
          <w:sz w:val="22"/>
          <w:szCs w:val="22"/>
        </w:rPr>
        <w:footnoteReference w:id="3"/>
      </w:r>
      <w:r w:rsidRPr="00C914B1">
        <w:rPr>
          <w:rFonts w:ascii="Cambria" w:hAnsi="Cambria"/>
          <w:sz w:val="22"/>
          <w:szCs w:val="22"/>
        </w:rPr>
        <w:t xml:space="preserve"> </w:t>
      </w:r>
      <w:r>
        <w:rPr>
          <w:rFonts w:ascii="Cambria" w:hAnsi="Cambria"/>
          <w:sz w:val="22"/>
          <w:szCs w:val="22"/>
        </w:rPr>
        <w:t>revealed</w:t>
      </w:r>
      <w:r w:rsidRPr="00C914B1">
        <w:rPr>
          <w:rFonts w:ascii="Cambria" w:hAnsi="Cambria"/>
          <w:sz w:val="22"/>
          <w:szCs w:val="22"/>
        </w:rPr>
        <w:t xml:space="preserve"> a significan</w:t>
      </w:r>
      <w:r>
        <w:rPr>
          <w:rFonts w:ascii="Cambria" w:hAnsi="Cambria"/>
          <w:sz w:val="22"/>
          <w:szCs w:val="22"/>
        </w:rPr>
        <w:t>t unmet demand for adult education services</w:t>
      </w:r>
      <w:r w:rsidR="00BA31FB">
        <w:rPr>
          <w:rFonts w:ascii="Cambria" w:hAnsi="Cambria"/>
          <w:sz w:val="22"/>
          <w:szCs w:val="22"/>
        </w:rPr>
        <w:t xml:space="preserve">, amounting to an estimated </w:t>
      </w:r>
      <w:r w:rsidRPr="00C914B1">
        <w:rPr>
          <w:rFonts w:ascii="Cambria" w:hAnsi="Cambria"/>
          <w:sz w:val="22"/>
          <w:szCs w:val="22"/>
        </w:rPr>
        <w:t xml:space="preserve">3 million </w:t>
      </w:r>
      <w:r>
        <w:rPr>
          <w:rFonts w:ascii="Cambria" w:hAnsi="Cambria"/>
          <w:sz w:val="22"/>
          <w:szCs w:val="22"/>
        </w:rPr>
        <w:t>people</w:t>
      </w:r>
      <w:r w:rsidR="00BA31FB">
        <w:rPr>
          <w:rFonts w:ascii="Cambria" w:hAnsi="Cambria"/>
          <w:sz w:val="22"/>
          <w:szCs w:val="22"/>
        </w:rPr>
        <w:t xml:space="preserve"> who are not enrolled in adult education programs, but would like to be</w:t>
      </w:r>
      <w:r>
        <w:rPr>
          <w:rFonts w:ascii="Cambria" w:hAnsi="Cambria"/>
          <w:sz w:val="22"/>
          <w:szCs w:val="22"/>
        </w:rPr>
        <w:t xml:space="preserve">. </w:t>
      </w:r>
      <w:r w:rsidRPr="00FB3938">
        <w:rPr>
          <w:rFonts w:ascii="Cambria" w:hAnsi="Cambria"/>
          <w:sz w:val="22"/>
          <w:szCs w:val="22"/>
        </w:rPr>
        <w:t>Technology</w:t>
      </w:r>
      <w:r>
        <w:rPr>
          <w:rFonts w:ascii="Cambria" w:hAnsi="Cambria"/>
          <w:sz w:val="22"/>
          <w:szCs w:val="22"/>
        </w:rPr>
        <w:t xml:space="preserve"> could provide </w:t>
      </w:r>
      <w:r w:rsidRPr="00FB3938">
        <w:rPr>
          <w:rFonts w:ascii="Cambria" w:hAnsi="Cambria"/>
          <w:sz w:val="22"/>
          <w:szCs w:val="22"/>
        </w:rPr>
        <w:t>new</w:t>
      </w:r>
      <w:r>
        <w:rPr>
          <w:rFonts w:ascii="Cambria" w:hAnsi="Cambria"/>
          <w:sz w:val="22"/>
          <w:szCs w:val="22"/>
        </w:rPr>
        <w:t xml:space="preserve"> </w:t>
      </w:r>
      <w:r w:rsidRPr="00FB3938">
        <w:rPr>
          <w:rFonts w:ascii="Cambria" w:hAnsi="Cambria"/>
          <w:sz w:val="22"/>
          <w:szCs w:val="22"/>
        </w:rPr>
        <w:t>opportunities</w:t>
      </w:r>
      <w:r>
        <w:rPr>
          <w:rFonts w:ascii="Cambria" w:hAnsi="Cambria"/>
          <w:sz w:val="22"/>
          <w:szCs w:val="22"/>
        </w:rPr>
        <w:t xml:space="preserve"> </w:t>
      </w:r>
      <w:r w:rsidRPr="00FB3938">
        <w:rPr>
          <w:rFonts w:ascii="Cambria" w:hAnsi="Cambria"/>
          <w:sz w:val="22"/>
          <w:szCs w:val="22"/>
        </w:rPr>
        <w:t>for</w:t>
      </w:r>
      <w:r>
        <w:rPr>
          <w:rFonts w:ascii="Cambria" w:hAnsi="Cambria"/>
          <w:sz w:val="22"/>
          <w:szCs w:val="22"/>
        </w:rPr>
        <w:t xml:space="preserve"> these </w:t>
      </w:r>
      <w:r w:rsidRPr="00FB3938">
        <w:rPr>
          <w:rFonts w:ascii="Cambria" w:hAnsi="Cambria"/>
          <w:sz w:val="22"/>
          <w:szCs w:val="22"/>
        </w:rPr>
        <w:t>adults</w:t>
      </w:r>
      <w:r>
        <w:rPr>
          <w:rFonts w:ascii="Cambria" w:hAnsi="Cambria"/>
          <w:sz w:val="22"/>
          <w:szCs w:val="22"/>
        </w:rPr>
        <w:t xml:space="preserve"> </w:t>
      </w:r>
      <w:r w:rsidRPr="00FB3938">
        <w:rPr>
          <w:rFonts w:ascii="Cambria" w:hAnsi="Cambria"/>
          <w:sz w:val="22"/>
          <w:szCs w:val="22"/>
        </w:rPr>
        <w:t>to</w:t>
      </w:r>
      <w:r>
        <w:rPr>
          <w:rFonts w:ascii="Cambria" w:hAnsi="Cambria"/>
          <w:sz w:val="22"/>
          <w:szCs w:val="22"/>
        </w:rPr>
        <w:t xml:space="preserve"> learn</w:t>
      </w:r>
      <w:r w:rsidR="00BA31FB">
        <w:rPr>
          <w:rFonts w:ascii="Cambria" w:hAnsi="Cambria"/>
          <w:sz w:val="22"/>
          <w:szCs w:val="22"/>
        </w:rPr>
        <w:t xml:space="preserve"> – </w:t>
      </w:r>
      <w:r>
        <w:rPr>
          <w:rFonts w:ascii="Cambria" w:hAnsi="Cambria"/>
          <w:sz w:val="22"/>
          <w:szCs w:val="22"/>
        </w:rPr>
        <w:t>both in and out of formal programs</w:t>
      </w:r>
      <w:r w:rsidR="00BA31FB">
        <w:rPr>
          <w:rFonts w:ascii="Cambria" w:hAnsi="Cambria"/>
          <w:sz w:val="22"/>
          <w:szCs w:val="22"/>
        </w:rPr>
        <w:t xml:space="preserve"> – </w:t>
      </w:r>
      <w:r w:rsidRPr="00FB3938">
        <w:rPr>
          <w:rFonts w:ascii="Cambria" w:hAnsi="Cambria"/>
          <w:sz w:val="22"/>
          <w:szCs w:val="22"/>
        </w:rPr>
        <w:t>but</w:t>
      </w:r>
      <w:r>
        <w:rPr>
          <w:rFonts w:ascii="Cambria" w:hAnsi="Cambria"/>
          <w:sz w:val="22"/>
          <w:szCs w:val="22"/>
        </w:rPr>
        <w:t xml:space="preserve"> the market for such tools is underdeveloped</w:t>
      </w:r>
      <w:r w:rsidRPr="00FB3938">
        <w:rPr>
          <w:rFonts w:ascii="Cambria" w:hAnsi="Cambria"/>
          <w:sz w:val="22"/>
          <w:szCs w:val="22"/>
        </w:rPr>
        <w:t>.</w:t>
      </w:r>
      <w:r>
        <w:rPr>
          <w:rFonts w:ascii="Cambria" w:hAnsi="Cambria"/>
          <w:sz w:val="22"/>
          <w:szCs w:val="22"/>
        </w:rPr>
        <w:t xml:space="preserve"> </w:t>
      </w:r>
    </w:p>
    <w:p w14:paraId="42418AC2" w14:textId="77777777" w:rsidR="00E81B11" w:rsidRPr="00707625" w:rsidRDefault="00E81B11" w:rsidP="00E81B11">
      <w:pPr>
        <w:widowControl w:val="0"/>
        <w:autoSpaceDE w:val="0"/>
        <w:autoSpaceDN w:val="0"/>
        <w:adjustRightInd w:val="0"/>
        <w:spacing w:after="120"/>
        <w:rPr>
          <w:sz w:val="22"/>
          <w:szCs w:val="22"/>
        </w:rPr>
      </w:pPr>
      <w:r w:rsidRPr="00707625">
        <w:rPr>
          <w:sz w:val="22"/>
          <w:szCs w:val="22"/>
        </w:rPr>
        <w:t>Pull mechanisms</w:t>
      </w:r>
      <w:r>
        <w:rPr>
          <w:sz w:val="22"/>
          <w:szCs w:val="22"/>
        </w:rPr>
        <w:t xml:space="preserve"> </w:t>
      </w:r>
      <w:r w:rsidRPr="00707625">
        <w:rPr>
          <w:sz w:val="22"/>
          <w:szCs w:val="22"/>
        </w:rPr>
        <w:t>could enable more of those with low skills and</w:t>
      </w:r>
      <w:r>
        <w:rPr>
          <w:sz w:val="22"/>
          <w:szCs w:val="22"/>
        </w:rPr>
        <w:t>/or</w:t>
      </w:r>
      <w:r w:rsidRPr="00707625">
        <w:rPr>
          <w:sz w:val="22"/>
          <w:szCs w:val="22"/>
        </w:rPr>
        <w:t xml:space="preserve"> lacking a high school diploma to move into postsecondary education and training</w:t>
      </w:r>
      <w:r>
        <w:rPr>
          <w:sz w:val="22"/>
          <w:szCs w:val="22"/>
        </w:rPr>
        <w:t>. A</w:t>
      </w:r>
      <w:r w:rsidRPr="00707625">
        <w:rPr>
          <w:sz w:val="22"/>
          <w:szCs w:val="22"/>
        </w:rPr>
        <w:t xml:space="preserve"> prize competition</w:t>
      </w:r>
      <w:r>
        <w:rPr>
          <w:sz w:val="22"/>
          <w:szCs w:val="22"/>
        </w:rPr>
        <w:t xml:space="preserve"> appears to be a particularly promising pull mechanism in this space, as a way to </w:t>
      </w:r>
      <w:r w:rsidRPr="00707625">
        <w:rPr>
          <w:sz w:val="22"/>
          <w:szCs w:val="22"/>
        </w:rPr>
        <w:t xml:space="preserve">bring new </w:t>
      </w:r>
      <w:r>
        <w:rPr>
          <w:sz w:val="22"/>
          <w:szCs w:val="22"/>
        </w:rPr>
        <w:t>solutions and developers</w:t>
      </w:r>
      <w:r w:rsidRPr="00707625">
        <w:rPr>
          <w:sz w:val="22"/>
          <w:szCs w:val="22"/>
        </w:rPr>
        <w:t xml:space="preserve"> into the field. The publicity and attention of a prize competition </w:t>
      </w:r>
      <w:r>
        <w:rPr>
          <w:sz w:val="22"/>
          <w:szCs w:val="22"/>
        </w:rPr>
        <w:t>c</w:t>
      </w:r>
      <w:r w:rsidRPr="00707625">
        <w:rPr>
          <w:sz w:val="22"/>
          <w:szCs w:val="22"/>
        </w:rPr>
        <w:t xml:space="preserve">ould increase the </w:t>
      </w:r>
      <w:r>
        <w:rPr>
          <w:sz w:val="22"/>
          <w:szCs w:val="22"/>
        </w:rPr>
        <w:t xml:space="preserve">number and quality of </w:t>
      </w:r>
      <w:r w:rsidRPr="00707625">
        <w:rPr>
          <w:sz w:val="22"/>
          <w:szCs w:val="22"/>
        </w:rPr>
        <w:t xml:space="preserve">products </w:t>
      </w:r>
      <w:r>
        <w:rPr>
          <w:sz w:val="22"/>
          <w:szCs w:val="22"/>
        </w:rPr>
        <w:t xml:space="preserve">and services </w:t>
      </w:r>
      <w:r w:rsidRPr="00707625">
        <w:rPr>
          <w:sz w:val="22"/>
          <w:szCs w:val="22"/>
        </w:rPr>
        <w:t xml:space="preserve">available to </w:t>
      </w:r>
      <w:r>
        <w:rPr>
          <w:sz w:val="22"/>
          <w:szCs w:val="22"/>
        </w:rPr>
        <w:t>s</w:t>
      </w:r>
      <w:r w:rsidRPr="00707625">
        <w:rPr>
          <w:sz w:val="22"/>
          <w:szCs w:val="22"/>
        </w:rPr>
        <w:t xml:space="preserve">tates, local adult education </w:t>
      </w:r>
      <w:r>
        <w:rPr>
          <w:sz w:val="22"/>
          <w:szCs w:val="22"/>
        </w:rPr>
        <w:t>programs</w:t>
      </w:r>
      <w:r w:rsidRPr="00707625">
        <w:rPr>
          <w:sz w:val="22"/>
          <w:szCs w:val="22"/>
        </w:rPr>
        <w:t xml:space="preserve">, and </w:t>
      </w:r>
      <w:r>
        <w:rPr>
          <w:sz w:val="22"/>
          <w:szCs w:val="22"/>
        </w:rPr>
        <w:t xml:space="preserve">directly to </w:t>
      </w:r>
      <w:r w:rsidRPr="00707625">
        <w:rPr>
          <w:sz w:val="22"/>
          <w:szCs w:val="22"/>
        </w:rPr>
        <w:t>students themselves.</w:t>
      </w:r>
    </w:p>
    <w:p w14:paraId="677501CD" w14:textId="77777777" w:rsidR="00E81B11" w:rsidRPr="00C914B1" w:rsidRDefault="00E81B11" w:rsidP="00E81B11">
      <w:pPr>
        <w:pStyle w:val="Heading3"/>
        <w:spacing w:before="360" w:after="120"/>
        <w:rPr>
          <w:rFonts w:asciiTheme="minorHAnsi" w:hAnsiTheme="minorHAnsi"/>
          <w:sz w:val="22"/>
          <w:szCs w:val="22"/>
        </w:rPr>
      </w:pPr>
      <w:r>
        <w:rPr>
          <w:rFonts w:asciiTheme="minorHAnsi" w:hAnsiTheme="minorHAnsi"/>
          <w:sz w:val="22"/>
          <w:szCs w:val="22"/>
        </w:rPr>
        <w:t xml:space="preserve">Grand Challenge 2: </w:t>
      </w:r>
      <w:r w:rsidRPr="00C914B1">
        <w:rPr>
          <w:rFonts w:asciiTheme="minorHAnsi" w:hAnsiTheme="minorHAnsi"/>
          <w:sz w:val="22"/>
          <w:szCs w:val="22"/>
        </w:rPr>
        <w:t>English Language Proficiency</w:t>
      </w:r>
    </w:p>
    <w:p w14:paraId="0ED300B3" w14:textId="7779C78E" w:rsidR="00E81B11" w:rsidRDefault="00E81B11" w:rsidP="00E81B11">
      <w:pPr>
        <w:spacing w:after="120"/>
        <w:rPr>
          <w:sz w:val="22"/>
          <w:szCs w:val="22"/>
        </w:rPr>
      </w:pPr>
      <w:r>
        <w:rPr>
          <w:sz w:val="22"/>
          <w:szCs w:val="22"/>
        </w:rPr>
        <w:t>I</w:t>
      </w:r>
      <w:r w:rsidRPr="00707625">
        <w:rPr>
          <w:sz w:val="22"/>
          <w:szCs w:val="22"/>
        </w:rPr>
        <w:t xml:space="preserve">ncreasing the English </w:t>
      </w:r>
      <w:r>
        <w:rPr>
          <w:sz w:val="22"/>
          <w:szCs w:val="22"/>
        </w:rPr>
        <w:t>l</w:t>
      </w:r>
      <w:r w:rsidRPr="00707625">
        <w:rPr>
          <w:sz w:val="22"/>
          <w:szCs w:val="22"/>
        </w:rPr>
        <w:t xml:space="preserve">anguage </w:t>
      </w:r>
      <w:r>
        <w:rPr>
          <w:sz w:val="22"/>
          <w:szCs w:val="22"/>
        </w:rPr>
        <w:t>p</w:t>
      </w:r>
      <w:r w:rsidRPr="00707625">
        <w:rPr>
          <w:sz w:val="22"/>
          <w:szCs w:val="22"/>
        </w:rPr>
        <w:t>roficiency</w:t>
      </w:r>
      <w:r>
        <w:rPr>
          <w:sz w:val="22"/>
          <w:szCs w:val="22"/>
        </w:rPr>
        <w:t xml:space="preserve"> </w:t>
      </w:r>
      <w:r w:rsidRPr="00707625">
        <w:rPr>
          <w:sz w:val="22"/>
          <w:szCs w:val="22"/>
        </w:rPr>
        <w:t>of English</w:t>
      </w:r>
      <w:r>
        <w:rPr>
          <w:sz w:val="22"/>
          <w:szCs w:val="22"/>
        </w:rPr>
        <w:t xml:space="preserve"> language</w:t>
      </w:r>
      <w:r w:rsidRPr="00707625">
        <w:rPr>
          <w:sz w:val="22"/>
          <w:szCs w:val="22"/>
        </w:rPr>
        <w:t xml:space="preserve"> </w:t>
      </w:r>
      <w:r>
        <w:rPr>
          <w:sz w:val="22"/>
          <w:szCs w:val="22"/>
        </w:rPr>
        <w:t>l</w:t>
      </w:r>
      <w:r w:rsidRPr="00707625">
        <w:rPr>
          <w:sz w:val="22"/>
          <w:szCs w:val="22"/>
        </w:rPr>
        <w:t>earners (EL</w:t>
      </w:r>
      <w:r>
        <w:rPr>
          <w:sz w:val="22"/>
          <w:szCs w:val="22"/>
        </w:rPr>
        <w:t>L</w:t>
      </w:r>
      <w:r w:rsidRPr="00707625">
        <w:rPr>
          <w:sz w:val="22"/>
          <w:szCs w:val="22"/>
        </w:rPr>
        <w:t>s) is another powerful opportunity to leverage pull mechanisms. The number of school</w:t>
      </w:r>
      <w:r w:rsidR="00BA31FB">
        <w:rPr>
          <w:sz w:val="22"/>
          <w:szCs w:val="22"/>
        </w:rPr>
        <w:t>-</w:t>
      </w:r>
      <w:r w:rsidRPr="00707625">
        <w:rPr>
          <w:sz w:val="22"/>
          <w:szCs w:val="22"/>
        </w:rPr>
        <w:t>age E</w:t>
      </w:r>
      <w:r>
        <w:rPr>
          <w:sz w:val="22"/>
          <w:szCs w:val="22"/>
        </w:rPr>
        <w:t>L</w:t>
      </w:r>
      <w:r w:rsidRPr="00707625">
        <w:rPr>
          <w:sz w:val="22"/>
          <w:szCs w:val="22"/>
        </w:rPr>
        <w:t>Ls has more than quadrupled since 1980</w:t>
      </w:r>
      <w:r w:rsidR="00BA31FB">
        <w:rPr>
          <w:sz w:val="22"/>
          <w:szCs w:val="22"/>
        </w:rPr>
        <w:t xml:space="preserve"> and now totals </w:t>
      </w:r>
      <w:r w:rsidR="00BA31FB" w:rsidRPr="00707625">
        <w:rPr>
          <w:sz w:val="22"/>
          <w:szCs w:val="22"/>
        </w:rPr>
        <w:t>approximately 4.7 million</w:t>
      </w:r>
      <w:r>
        <w:rPr>
          <w:sz w:val="22"/>
          <w:szCs w:val="22"/>
        </w:rPr>
        <w:t>.</w:t>
      </w:r>
      <w:r w:rsidRPr="00707625">
        <w:rPr>
          <w:sz w:val="22"/>
          <w:szCs w:val="22"/>
        </w:rPr>
        <w:t xml:space="preserve"> </w:t>
      </w:r>
      <w:r w:rsidR="00230FBF">
        <w:rPr>
          <w:sz w:val="22"/>
          <w:szCs w:val="22"/>
        </w:rPr>
        <w:t xml:space="preserve">Still, </w:t>
      </w:r>
      <w:r>
        <w:rPr>
          <w:sz w:val="22"/>
          <w:szCs w:val="22"/>
        </w:rPr>
        <w:t xml:space="preserve">many </w:t>
      </w:r>
      <w:r w:rsidRPr="00707625">
        <w:rPr>
          <w:sz w:val="22"/>
          <w:szCs w:val="22"/>
        </w:rPr>
        <w:t xml:space="preserve">states </w:t>
      </w:r>
      <w:r>
        <w:rPr>
          <w:sz w:val="22"/>
          <w:szCs w:val="22"/>
        </w:rPr>
        <w:t>lack the</w:t>
      </w:r>
      <w:r w:rsidRPr="00707625">
        <w:rPr>
          <w:sz w:val="22"/>
          <w:szCs w:val="22"/>
        </w:rPr>
        <w:t xml:space="preserve"> capacity to serve large numbers of E</w:t>
      </w:r>
      <w:r>
        <w:rPr>
          <w:sz w:val="22"/>
          <w:szCs w:val="22"/>
        </w:rPr>
        <w:t>LLs. As a result, there is a huge need</w:t>
      </w:r>
      <w:r w:rsidRPr="00707625">
        <w:rPr>
          <w:sz w:val="22"/>
          <w:szCs w:val="22"/>
        </w:rPr>
        <w:t xml:space="preserve"> to develop and adopt learning technologies that can </w:t>
      </w:r>
      <w:r w:rsidRPr="004C4015">
        <w:rPr>
          <w:sz w:val="22"/>
          <w:szCs w:val="22"/>
        </w:rPr>
        <w:t>augment the services that bilingual or English as a second language teachers are able to provide for students</w:t>
      </w:r>
      <w:r>
        <w:rPr>
          <w:sz w:val="22"/>
          <w:szCs w:val="22"/>
        </w:rPr>
        <w:t>, and/or</w:t>
      </w:r>
      <w:r w:rsidRPr="004C4015">
        <w:rPr>
          <w:sz w:val="22"/>
          <w:szCs w:val="22"/>
        </w:rPr>
        <w:t xml:space="preserve"> increase the time on task that ELL stud</w:t>
      </w:r>
      <w:r>
        <w:rPr>
          <w:sz w:val="22"/>
          <w:szCs w:val="22"/>
        </w:rPr>
        <w:t>ents devote to learning English</w:t>
      </w:r>
      <w:r w:rsidR="00230FBF">
        <w:rPr>
          <w:sz w:val="22"/>
          <w:szCs w:val="22"/>
        </w:rPr>
        <w:t xml:space="preserve"> – all while providing </w:t>
      </w:r>
      <w:r>
        <w:rPr>
          <w:sz w:val="22"/>
          <w:szCs w:val="22"/>
        </w:rPr>
        <w:t xml:space="preserve">content </w:t>
      </w:r>
      <w:r w:rsidRPr="004C4015">
        <w:rPr>
          <w:sz w:val="22"/>
          <w:szCs w:val="22"/>
        </w:rPr>
        <w:t xml:space="preserve">that is engaging, personalized, </w:t>
      </w:r>
      <w:r>
        <w:rPr>
          <w:sz w:val="22"/>
          <w:szCs w:val="22"/>
        </w:rPr>
        <w:t xml:space="preserve">and </w:t>
      </w:r>
      <w:r w:rsidRPr="004C4015">
        <w:rPr>
          <w:sz w:val="22"/>
          <w:szCs w:val="22"/>
        </w:rPr>
        <w:t xml:space="preserve">available anywhere. </w:t>
      </w:r>
    </w:p>
    <w:p w14:paraId="4FCE83BB" w14:textId="77777777" w:rsidR="00E81B11" w:rsidRPr="004C4015" w:rsidRDefault="00E81B11" w:rsidP="00E81B11">
      <w:pPr>
        <w:spacing w:after="120"/>
        <w:rPr>
          <w:sz w:val="22"/>
          <w:szCs w:val="22"/>
        </w:rPr>
      </w:pPr>
      <w:r w:rsidRPr="004C4015">
        <w:rPr>
          <w:sz w:val="22"/>
          <w:szCs w:val="22"/>
        </w:rPr>
        <w:t xml:space="preserve">There are </w:t>
      </w:r>
      <w:r>
        <w:rPr>
          <w:sz w:val="22"/>
          <w:szCs w:val="22"/>
        </w:rPr>
        <w:t>several</w:t>
      </w:r>
      <w:r w:rsidRPr="004C4015">
        <w:rPr>
          <w:sz w:val="22"/>
          <w:szCs w:val="22"/>
        </w:rPr>
        <w:t xml:space="preserve"> types of pull mechanisms that could effectively serve this population:</w:t>
      </w:r>
    </w:p>
    <w:p w14:paraId="40A07952" w14:textId="77777777" w:rsidR="00E81B11" w:rsidRPr="00707625" w:rsidRDefault="00E81B11" w:rsidP="00E81B11">
      <w:pPr>
        <w:pStyle w:val="ListParagraph"/>
        <w:numPr>
          <w:ilvl w:val="0"/>
          <w:numId w:val="32"/>
        </w:numPr>
        <w:spacing w:after="120"/>
        <w:ind w:left="374" w:hanging="187"/>
        <w:contextualSpacing w:val="0"/>
        <w:rPr>
          <w:i/>
          <w:sz w:val="22"/>
          <w:szCs w:val="22"/>
        </w:rPr>
      </w:pPr>
      <w:r>
        <w:rPr>
          <w:sz w:val="22"/>
          <w:szCs w:val="22"/>
        </w:rPr>
        <w:t>Prizes could be used to incentivize the</w:t>
      </w:r>
      <w:r w:rsidRPr="00707625">
        <w:rPr>
          <w:sz w:val="22"/>
          <w:szCs w:val="22"/>
        </w:rPr>
        <w:t xml:space="preserve"> develop</w:t>
      </w:r>
      <w:r>
        <w:rPr>
          <w:sz w:val="22"/>
          <w:szCs w:val="22"/>
        </w:rPr>
        <w:t>ment</w:t>
      </w:r>
      <w:r w:rsidRPr="00707625">
        <w:rPr>
          <w:sz w:val="22"/>
          <w:szCs w:val="22"/>
        </w:rPr>
        <w:t xml:space="preserve"> or adapt</w:t>
      </w:r>
      <w:r>
        <w:rPr>
          <w:sz w:val="22"/>
          <w:szCs w:val="22"/>
        </w:rPr>
        <w:t>ion</w:t>
      </w:r>
      <w:r w:rsidRPr="00707625">
        <w:rPr>
          <w:sz w:val="22"/>
          <w:szCs w:val="22"/>
        </w:rPr>
        <w:t xml:space="preserve"> </w:t>
      </w:r>
      <w:r>
        <w:rPr>
          <w:sz w:val="22"/>
          <w:szCs w:val="22"/>
        </w:rPr>
        <w:t xml:space="preserve">of </w:t>
      </w:r>
      <w:r w:rsidRPr="00707625">
        <w:rPr>
          <w:sz w:val="22"/>
          <w:szCs w:val="22"/>
        </w:rPr>
        <w:t xml:space="preserve">existing products to demonstrate they are able to rapidly increase English </w:t>
      </w:r>
      <w:r>
        <w:rPr>
          <w:sz w:val="22"/>
          <w:szCs w:val="22"/>
        </w:rPr>
        <w:t>l</w:t>
      </w:r>
      <w:r w:rsidRPr="00707625">
        <w:rPr>
          <w:sz w:val="22"/>
          <w:szCs w:val="22"/>
        </w:rPr>
        <w:t xml:space="preserve">anguage </w:t>
      </w:r>
      <w:r>
        <w:rPr>
          <w:sz w:val="22"/>
          <w:szCs w:val="22"/>
        </w:rPr>
        <w:t>p</w:t>
      </w:r>
      <w:r w:rsidRPr="00707625">
        <w:rPr>
          <w:sz w:val="22"/>
          <w:szCs w:val="22"/>
        </w:rPr>
        <w:t>roficiency.</w:t>
      </w:r>
    </w:p>
    <w:p w14:paraId="675B1734" w14:textId="782AAAC7" w:rsidR="00E81B11" w:rsidRPr="00707625" w:rsidRDefault="00E81B11" w:rsidP="00E81B11">
      <w:pPr>
        <w:pStyle w:val="ListParagraph"/>
        <w:numPr>
          <w:ilvl w:val="0"/>
          <w:numId w:val="32"/>
        </w:numPr>
        <w:spacing w:after="120"/>
        <w:ind w:left="374" w:hanging="187"/>
        <w:contextualSpacing w:val="0"/>
        <w:rPr>
          <w:i/>
          <w:sz w:val="22"/>
          <w:szCs w:val="22"/>
        </w:rPr>
      </w:pPr>
      <w:r w:rsidRPr="009A7D54">
        <w:rPr>
          <w:sz w:val="22"/>
          <w:szCs w:val="22"/>
        </w:rPr>
        <w:t xml:space="preserve">An advance </w:t>
      </w:r>
      <w:r>
        <w:rPr>
          <w:sz w:val="22"/>
          <w:szCs w:val="22"/>
        </w:rPr>
        <w:t>m</w:t>
      </w:r>
      <w:r w:rsidRPr="009A7D54">
        <w:rPr>
          <w:sz w:val="22"/>
          <w:szCs w:val="22"/>
        </w:rPr>
        <w:t xml:space="preserve">arket </w:t>
      </w:r>
      <w:r>
        <w:rPr>
          <w:sz w:val="22"/>
          <w:szCs w:val="22"/>
        </w:rPr>
        <w:t>c</w:t>
      </w:r>
      <w:r w:rsidRPr="009A7D54">
        <w:rPr>
          <w:sz w:val="22"/>
          <w:szCs w:val="22"/>
        </w:rPr>
        <w:t xml:space="preserve">ommitment to purchase access to digital content and/or tools </w:t>
      </w:r>
      <w:r>
        <w:rPr>
          <w:sz w:val="22"/>
          <w:szCs w:val="22"/>
        </w:rPr>
        <w:t xml:space="preserve">on </w:t>
      </w:r>
      <w:r w:rsidRPr="009A7D54">
        <w:rPr>
          <w:sz w:val="22"/>
          <w:szCs w:val="22"/>
        </w:rPr>
        <w:t xml:space="preserve">behalf of </w:t>
      </w:r>
      <w:r>
        <w:rPr>
          <w:sz w:val="22"/>
          <w:szCs w:val="22"/>
        </w:rPr>
        <w:t xml:space="preserve">a consortium of </w:t>
      </w:r>
      <w:r w:rsidRPr="009A7D54">
        <w:rPr>
          <w:sz w:val="22"/>
          <w:szCs w:val="22"/>
        </w:rPr>
        <w:t xml:space="preserve">districts or </w:t>
      </w:r>
      <w:r>
        <w:rPr>
          <w:sz w:val="22"/>
          <w:szCs w:val="22"/>
        </w:rPr>
        <w:t>states</w:t>
      </w:r>
      <w:r w:rsidRPr="00707625">
        <w:rPr>
          <w:sz w:val="22"/>
          <w:szCs w:val="22"/>
        </w:rPr>
        <w:t xml:space="preserve">. </w:t>
      </w:r>
    </w:p>
    <w:p w14:paraId="2C960C9E" w14:textId="77777777" w:rsidR="00E81B11" w:rsidRPr="00707625" w:rsidRDefault="00E81B11" w:rsidP="00E81B11">
      <w:pPr>
        <w:pStyle w:val="ListParagraph"/>
        <w:numPr>
          <w:ilvl w:val="0"/>
          <w:numId w:val="32"/>
        </w:numPr>
        <w:spacing w:after="120"/>
        <w:ind w:hanging="180"/>
        <w:rPr>
          <w:sz w:val="22"/>
          <w:szCs w:val="22"/>
        </w:rPr>
      </w:pPr>
      <w:r w:rsidRPr="009A7D54">
        <w:rPr>
          <w:sz w:val="22"/>
          <w:szCs w:val="22"/>
        </w:rPr>
        <w:t>Pay-for-</w:t>
      </w:r>
      <w:r>
        <w:rPr>
          <w:sz w:val="22"/>
          <w:szCs w:val="22"/>
        </w:rPr>
        <w:t>s</w:t>
      </w:r>
      <w:r w:rsidRPr="009A7D54">
        <w:rPr>
          <w:sz w:val="22"/>
          <w:szCs w:val="22"/>
        </w:rPr>
        <w:t>uccess</w:t>
      </w:r>
      <w:r>
        <w:rPr>
          <w:sz w:val="22"/>
          <w:szCs w:val="22"/>
        </w:rPr>
        <w:t xml:space="preserve"> agreements between</w:t>
      </w:r>
      <w:r w:rsidRPr="009A7D54">
        <w:rPr>
          <w:sz w:val="22"/>
          <w:szCs w:val="22"/>
        </w:rPr>
        <w:t xml:space="preserve"> organizations that provide </w:t>
      </w:r>
      <w:r w:rsidRPr="00707625">
        <w:rPr>
          <w:sz w:val="22"/>
          <w:szCs w:val="22"/>
        </w:rPr>
        <w:t xml:space="preserve">digital content </w:t>
      </w:r>
      <w:r>
        <w:rPr>
          <w:sz w:val="22"/>
          <w:szCs w:val="22"/>
        </w:rPr>
        <w:t xml:space="preserve">and </w:t>
      </w:r>
      <w:r w:rsidRPr="001352DB">
        <w:rPr>
          <w:sz w:val="22"/>
          <w:szCs w:val="22"/>
        </w:rPr>
        <w:t>school districts</w:t>
      </w:r>
      <w:r w:rsidRPr="00707625">
        <w:rPr>
          <w:sz w:val="22"/>
          <w:szCs w:val="22"/>
        </w:rPr>
        <w:t xml:space="preserve"> </w:t>
      </w:r>
      <w:r>
        <w:rPr>
          <w:sz w:val="22"/>
          <w:szCs w:val="22"/>
        </w:rPr>
        <w:t>that aim to</w:t>
      </w:r>
      <w:r w:rsidRPr="00707625">
        <w:rPr>
          <w:sz w:val="22"/>
          <w:szCs w:val="22"/>
        </w:rPr>
        <w:t xml:space="preserve"> increase English </w:t>
      </w:r>
      <w:r>
        <w:rPr>
          <w:sz w:val="22"/>
          <w:szCs w:val="22"/>
        </w:rPr>
        <w:t>l</w:t>
      </w:r>
      <w:r w:rsidRPr="00707625">
        <w:rPr>
          <w:sz w:val="22"/>
          <w:szCs w:val="22"/>
        </w:rPr>
        <w:t xml:space="preserve">anguage </w:t>
      </w:r>
      <w:r>
        <w:rPr>
          <w:sz w:val="22"/>
          <w:szCs w:val="22"/>
        </w:rPr>
        <w:t>proficiency at ambitious rates.</w:t>
      </w:r>
    </w:p>
    <w:p w14:paraId="136EE45D" w14:textId="77777777" w:rsidR="00E81B11" w:rsidRPr="00650741" w:rsidRDefault="00E81B11" w:rsidP="00E81B11">
      <w:pPr>
        <w:pStyle w:val="Heading3"/>
        <w:spacing w:before="360" w:after="120"/>
        <w:rPr>
          <w:rFonts w:asciiTheme="minorHAnsi" w:hAnsiTheme="minorHAnsi"/>
          <w:sz w:val="22"/>
          <w:szCs w:val="22"/>
        </w:rPr>
      </w:pPr>
      <w:r>
        <w:rPr>
          <w:rFonts w:asciiTheme="minorHAnsi" w:hAnsiTheme="minorHAnsi"/>
          <w:sz w:val="22"/>
          <w:szCs w:val="22"/>
        </w:rPr>
        <w:t xml:space="preserve">Grand Challenge 3: </w:t>
      </w:r>
      <w:r w:rsidRPr="00650741">
        <w:rPr>
          <w:rFonts w:asciiTheme="minorHAnsi" w:hAnsiTheme="minorHAnsi"/>
          <w:sz w:val="22"/>
          <w:szCs w:val="22"/>
        </w:rPr>
        <w:t>Developmental Math</w:t>
      </w:r>
    </w:p>
    <w:p w14:paraId="203B8AE5" w14:textId="55B8B06A" w:rsidR="00E81B11" w:rsidRDefault="00E81B11" w:rsidP="00E81B11">
      <w:pPr>
        <w:spacing w:after="120"/>
        <w:rPr>
          <w:sz w:val="22"/>
          <w:szCs w:val="22"/>
        </w:rPr>
      </w:pPr>
      <w:r w:rsidRPr="00707625">
        <w:rPr>
          <w:sz w:val="22"/>
          <w:szCs w:val="22"/>
        </w:rPr>
        <w:t xml:space="preserve">Developmental math </w:t>
      </w:r>
      <w:r>
        <w:rPr>
          <w:sz w:val="22"/>
          <w:szCs w:val="22"/>
        </w:rPr>
        <w:t>represents</w:t>
      </w:r>
      <w:r w:rsidRPr="00707625">
        <w:rPr>
          <w:sz w:val="22"/>
          <w:szCs w:val="22"/>
        </w:rPr>
        <w:t xml:space="preserve"> a third critical opportunity to leverage pull </w:t>
      </w:r>
      <w:r>
        <w:rPr>
          <w:sz w:val="22"/>
          <w:szCs w:val="22"/>
        </w:rPr>
        <w:t>mechanisms</w:t>
      </w:r>
      <w:r w:rsidRPr="00707625">
        <w:rPr>
          <w:sz w:val="22"/>
          <w:szCs w:val="22"/>
        </w:rPr>
        <w:t xml:space="preserve">. </w:t>
      </w:r>
      <w:r>
        <w:rPr>
          <w:sz w:val="22"/>
          <w:szCs w:val="22"/>
        </w:rPr>
        <w:t>S</w:t>
      </w:r>
      <w:r w:rsidRPr="00707625">
        <w:rPr>
          <w:sz w:val="22"/>
          <w:szCs w:val="22"/>
        </w:rPr>
        <w:t>pend</w:t>
      </w:r>
      <w:r>
        <w:rPr>
          <w:sz w:val="22"/>
          <w:szCs w:val="22"/>
        </w:rPr>
        <w:t>ing</w:t>
      </w:r>
      <w:r w:rsidRPr="00707625">
        <w:rPr>
          <w:sz w:val="22"/>
          <w:szCs w:val="22"/>
        </w:rPr>
        <w:t xml:space="preserve"> </w:t>
      </w:r>
      <w:r>
        <w:rPr>
          <w:sz w:val="22"/>
          <w:szCs w:val="22"/>
        </w:rPr>
        <w:t xml:space="preserve">on </w:t>
      </w:r>
      <w:r w:rsidRPr="00707625">
        <w:rPr>
          <w:sz w:val="22"/>
          <w:szCs w:val="22"/>
        </w:rPr>
        <w:t>developmental courses for the 60</w:t>
      </w:r>
      <w:r w:rsidR="00230FBF">
        <w:rPr>
          <w:sz w:val="22"/>
          <w:szCs w:val="22"/>
        </w:rPr>
        <w:t xml:space="preserve"> percent</w:t>
      </w:r>
      <w:r w:rsidRPr="00707625">
        <w:rPr>
          <w:sz w:val="22"/>
          <w:szCs w:val="22"/>
        </w:rPr>
        <w:t xml:space="preserve"> of community college students referred to</w:t>
      </w:r>
      <w:r>
        <w:rPr>
          <w:sz w:val="22"/>
          <w:szCs w:val="22"/>
        </w:rPr>
        <w:t xml:space="preserve"> them tops </w:t>
      </w:r>
      <w:r w:rsidRPr="00707625">
        <w:rPr>
          <w:sz w:val="22"/>
          <w:szCs w:val="22"/>
        </w:rPr>
        <w:t>$7 billion annually</w:t>
      </w:r>
      <w:r>
        <w:rPr>
          <w:sz w:val="22"/>
          <w:szCs w:val="22"/>
        </w:rPr>
        <w:t xml:space="preserve">, </w:t>
      </w:r>
      <w:r w:rsidRPr="00707625">
        <w:rPr>
          <w:sz w:val="22"/>
          <w:szCs w:val="22"/>
        </w:rPr>
        <w:t>and only 20</w:t>
      </w:r>
      <w:r w:rsidR="00230FBF">
        <w:rPr>
          <w:sz w:val="22"/>
          <w:szCs w:val="22"/>
        </w:rPr>
        <w:t xml:space="preserve"> percent</w:t>
      </w:r>
      <w:r w:rsidRPr="00707625">
        <w:rPr>
          <w:sz w:val="22"/>
          <w:szCs w:val="22"/>
        </w:rPr>
        <w:t xml:space="preserve"> of </w:t>
      </w:r>
      <w:r>
        <w:rPr>
          <w:sz w:val="22"/>
          <w:szCs w:val="22"/>
        </w:rPr>
        <w:t>those</w:t>
      </w:r>
      <w:r w:rsidRPr="00707625">
        <w:rPr>
          <w:sz w:val="22"/>
          <w:szCs w:val="22"/>
        </w:rPr>
        <w:t xml:space="preserve"> students go on to complete credit</w:t>
      </w:r>
      <w:r w:rsidR="00230FBF">
        <w:rPr>
          <w:sz w:val="22"/>
          <w:szCs w:val="22"/>
        </w:rPr>
        <w:t>-</w:t>
      </w:r>
      <w:r w:rsidRPr="00707625">
        <w:rPr>
          <w:sz w:val="22"/>
          <w:szCs w:val="22"/>
        </w:rPr>
        <w:t>bearing introductory math courses.</w:t>
      </w:r>
      <w:r w:rsidRPr="00707625">
        <w:rPr>
          <w:rStyle w:val="FootnoteReference"/>
          <w:sz w:val="22"/>
          <w:szCs w:val="22"/>
        </w:rPr>
        <w:footnoteReference w:id="4"/>
      </w:r>
      <w:r w:rsidRPr="00707625">
        <w:rPr>
          <w:sz w:val="22"/>
          <w:szCs w:val="22"/>
        </w:rPr>
        <w:t xml:space="preserve"> Developmental math </w:t>
      </w:r>
      <w:r>
        <w:rPr>
          <w:sz w:val="22"/>
          <w:szCs w:val="22"/>
        </w:rPr>
        <w:t>presents</w:t>
      </w:r>
      <w:r w:rsidRPr="00707625">
        <w:rPr>
          <w:sz w:val="22"/>
          <w:szCs w:val="22"/>
        </w:rPr>
        <w:t xml:space="preserve"> a number of challenges </w:t>
      </w:r>
      <w:r w:rsidR="00230FBF">
        <w:rPr>
          <w:sz w:val="22"/>
          <w:szCs w:val="22"/>
        </w:rPr>
        <w:t>for which</w:t>
      </w:r>
      <w:r w:rsidR="00230FBF" w:rsidRPr="00707625">
        <w:rPr>
          <w:sz w:val="22"/>
          <w:szCs w:val="22"/>
        </w:rPr>
        <w:t xml:space="preserve"> </w:t>
      </w:r>
      <w:r w:rsidRPr="00707625">
        <w:rPr>
          <w:sz w:val="22"/>
          <w:szCs w:val="22"/>
        </w:rPr>
        <w:t xml:space="preserve">pull mechanisms offer </w:t>
      </w:r>
      <w:r>
        <w:rPr>
          <w:sz w:val="22"/>
          <w:szCs w:val="22"/>
        </w:rPr>
        <w:t xml:space="preserve">the </w:t>
      </w:r>
      <w:r w:rsidRPr="00707625">
        <w:rPr>
          <w:sz w:val="22"/>
          <w:szCs w:val="22"/>
        </w:rPr>
        <w:t>potential for improvement</w:t>
      </w:r>
      <w:r>
        <w:rPr>
          <w:sz w:val="22"/>
          <w:szCs w:val="22"/>
        </w:rPr>
        <w:t>,</w:t>
      </w:r>
      <w:r w:rsidRPr="00707625">
        <w:rPr>
          <w:sz w:val="22"/>
          <w:szCs w:val="22"/>
        </w:rPr>
        <w:t xml:space="preserve"> including increasing passage rates on placement tests, improving the accuracy of placement tests, and increasing pass</w:t>
      </w:r>
      <w:r>
        <w:rPr>
          <w:sz w:val="22"/>
          <w:szCs w:val="22"/>
        </w:rPr>
        <w:t>ing</w:t>
      </w:r>
      <w:r w:rsidRPr="00707625">
        <w:rPr>
          <w:sz w:val="22"/>
          <w:szCs w:val="22"/>
        </w:rPr>
        <w:t xml:space="preserve"> rates </w:t>
      </w:r>
      <w:r>
        <w:rPr>
          <w:sz w:val="22"/>
          <w:szCs w:val="22"/>
        </w:rPr>
        <w:t>for those enrolled in</w:t>
      </w:r>
      <w:r w:rsidRPr="00707625">
        <w:rPr>
          <w:sz w:val="22"/>
          <w:szCs w:val="22"/>
        </w:rPr>
        <w:t xml:space="preserve"> developmental math courses</w:t>
      </w:r>
      <w:r>
        <w:rPr>
          <w:sz w:val="22"/>
          <w:szCs w:val="22"/>
        </w:rPr>
        <w:t>. Potential examples include</w:t>
      </w:r>
      <w:r w:rsidRPr="00D21F15">
        <w:rPr>
          <w:sz w:val="22"/>
          <w:szCs w:val="22"/>
        </w:rPr>
        <w:t>:</w:t>
      </w:r>
    </w:p>
    <w:p w14:paraId="274C3521" w14:textId="2954A3A8" w:rsidR="00E81B11" w:rsidRPr="00D21F15" w:rsidRDefault="00E81B11" w:rsidP="00E81B11">
      <w:pPr>
        <w:pStyle w:val="ListParagraph"/>
        <w:numPr>
          <w:ilvl w:val="0"/>
          <w:numId w:val="31"/>
        </w:numPr>
        <w:spacing w:after="120"/>
        <w:ind w:left="374" w:hanging="187"/>
        <w:contextualSpacing w:val="0"/>
        <w:rPr>
          <w:sz w:val="22"/>
          <w:szCs w:val="22"/>
        </w:rPr>
      </w:pPr>
      <w:r>
        <w:rPr>
          <w:sz w:val="22"/>
          <w:szCs w:val="22"/>
        </w:rPr>
        <w:t xml:space="preserve">Prizes for </w:t>
      </w:r>
      <w:r w:rsidRPr="00D75FD2">
        <w:rPr>
          <w:sz w:val="22"/>
          <w:szCs w:val="22"/>
        </w:rPr>
        <w:t>techno</w:t>
      </w:r>
      <w:r>
        <w:rPr>
          <w:sz w:val="22"/>
          <w:szCs w:val="22"/>
        </w:rPr>
        <w:t>logies that can increase passing</w:t>
      </w:r>
      <w:r w:rsidRPr="00D75FD2">
        <w:rPr>
          <w:sz w:val="22"/>
          <w:szCs w:val="22"/>
        </w:rPr>
        <w:t xml:space="preserve"> rates,</w:t>
      </w:r>
      <w:r w:rsidRPr="00D21F15">
        <w:rPr>
          <w:sz w:val="22"/>
          <w:szCs w:val="22"/>
        </w:rPr>
        <w:t xml:space="preserve"> improve </w:t>
      </w:r>
      <w:r w:rsidR="00230FBF">
        <w:rPr>
          <w:sz w:val="22"/>
          <w:szCs w:val="22"/>
        </w:rPr>
        <w:t xml:space="preserve">the accuracy of </w:t>
      </w:r>
      <w:r w:rsidRPr="00D21F15">
        <w:rPr>
          <w:sz w:val="22"/>
          <w:szCs w:val="22"/>
        </w:rPr>
        <w:t>placement testing, and</w:t>
      </w:r>
      <w:r>
        <w:rPr>
          <w:sz w:val="22"/>
          <w:szCs w:val="22"/>
        </w:rPr>
        <w:t xml:space="preserve">/or </w:t>
      </w:r>
      <w:r w:rsidRPr="00D21F15">
        <w:rPr>
          <w:sz w:val="22"/>
          <w:szCs w:val="22"/>
        </w:rPr>
        <w:t xml:space="preserve">encourage collaborative efforts to create new solutions. </w:t>
      </w:r>
    </w:p>
    <w:p w14:paraId="319F06D6" w14:textId="77777777" w:rsidR="00E81B11" w:rsidRPr="00D75FD2" w:rsidRDefault="00E81B11" w:rsidP="00E81B11">
      <w:pPr>
        <w:pStyle w:val="ListParagraph"/>
        <w:numPr>
          <w:ilvl w:val="0"/>
          <w:numId w:val="31"/>
        </w:numPr>
        <w:spacing w:after="120"/>
        <w:ind w:left="374" w:hanging="187"/>
        <w:contextualSpacing w:val="0"/>
        <w:rPr>
          <w:sz w:val="22"/>
          <w:szCs w:val="22"/>
        </w:rPr>
      </w:pPr>
      <w:r w:rsidRPr="00D75FD2">
        <w:rPr>
          <w:sz w:val="22"/>
          <w:szCs w:val="22"/>
        </w:rPr>
        <w:t>An advance market commitment on behalf of a consorti</w:t>
      </w:r>
      <w:r>
        <w:rPr>
          <w:sz w:val="22"/>
          <w:szCs w:val="22"/>
        </w:rPr>
        <w:t>um</w:t>
      </w:r>
      <w:r w:rsidRPr="00D75FD2">
        <w:rPr>
          <w:sz w:val="22"/>
          <w:szCs w:val="22"/>
        </w:rPr>
        <w:t xml:space="preserve"> of community colleges to purchase innovative technologies that demonstrate effectiveness in improving developmental math outcomes in less time. </w:t>
      </w:r>
    </w:p>
    <w:p w14:paraId="3CD5FD09" w14:textId="280C9870" w:rsidR="00E81B11" w:rsidRDefault="00E81B11" w:rsidP="00E81B11">
      <w:pPr>
        <w:pStyle w:val="ListParagraph"/>
        <w:numPr>
          <w:ilvl w:val="0"/>
          <w:numId w:val="31"/>
        </w:numPr>
        <w:spacing w:after="120"/>
        <w:ind w:left="360" w:hanging="180"/>
      </w:pPr>
      <w:r>
        <w:rPr>
          <w:sz w:val="22"/>
          <w:szCs w:val="22"/>
        </w:rPr>
        <w:t>A</w:t>
      </w:r>
      <w:r w:rsidRPr="00D21F15">
        <w:rPr>
          <w:sz w:val="22"/>
          <w:szCs w:val="22"/>
        </w:rPr>
        <w:t xml:space="preserve"> pay</w:t>
      </w:r>
      <w:r w:rsidR="00230FBF">
        <w:rPr>
          <w:sz w:val="22"/>
          <w:szCs w:val="22"/>
        </w:rPr>
        <w:t>-</w:t>
      </w:r>
      <w:r w:rsidRPr="00D21F15">
        <w:rPr>
          <w:sz w:val="22"/>
          <w:szCs w:val="22"/>
        </w:rPr>
        <w:t>for</w:t>
      </w:r>
      <w:r w:rsidR="00230FBF">
        <w:rPr>
          <w:sz w:val="22"/>
          <w:szCs w:val="22"/>
        </w:rPr>
        <w:t>-</w:t>
      </w:r>
      <w:r w:rsidRPr="00D21F15">
        <w:rPr>
          <w:sz w:val="22"/>
          <w:szCs w:val="22"/>
        </w:rPr>
        <w:t xml:space="preserve">success challenge </w:t>
      </w:r>
      <w:r>
        <w:rPr>
          <w:sz w:val="22"/>
          <w:szCs w:val="22"/>
        </w:rPr>
        <w:t>that</w:t>
      </w:r>
      <w:r w:rsidRPr="00D21F15">
        <w:rPr>
          <w:sz w:val="22"/>
          <w:szCs w:val="22"/>
        </w:rPr>
        <w:t xml:space="preserve"> give</w:t>
      </w:r>
      <w:r>
        <w:rPr>
          <w:sz w:val="22"/>
          <w:szCs w:val="22"/>
        </w:rPr>
        <w:t>s</w:t>
      </w:r>
      <w:r w:rsidRPr="00D21F15">
        <w:rPr>
          <w:sz w:val="22"/>
          <w:szCs w:val="22"/>
        </w:rPr>
        <w:t xml:space="preserve"> providers an opportunity to prove the effectiveness of their intervention and create a proof point to scale their technology.</w:t>
      </w:r>
    </w:p>
    <w:p w14:paraId="2EDBAED2" w14:textId="0FA924CD" w:rsidR="004D2022" w:rsidRPr="00300F98" w:rsidRDefault="004D2022" w:rsidP="00E81B11">
      <w:pPr>
        <w:pStyle w:val="Heading2"/>
        <w:rPr>
          <w:rFonts w:asciiTheme="minorHAnsi" w:hAnsiTheme="minorHAnsi"/>
          <w:sz w:val="22"/>
          <w:szCs w:val="22"/>
        </w:rPr>
      </w:pPr>
      <w:r w:rsidRPr="00300F98">
        <w:rPr>
          <w:rFonts w:asciiTheme="minorHAnsi" w:hAnsiTheme="minorHAnsi"/>
          <w:sz w:val="22"/>
          <w:szCs w:val="22"/>
        </w:rPr>
        <w:t>Roles for the Federal Government, Digital Promise, and Other</w:t>
      </w:r>
      <w:r w:rsidR="00B3657E">
        <w:rPr>
          <w:rFonts w:asciiTheme="minorHAnsi" w:hAnsiTheme="minorHAnsi"/>
          <w:sz w:val="22"/>
          <w:szCs w:val="22"/>
        </w:rPr>
        <w:t>s: Pull and Push</w:t>
      </w:r>
    </w:p>
    <w:p w14:paraId="3CCE883E" w14:textId="77777777" w:rsidR="004D2022" w:rsidRPr="00707625" w:rsidRDefault="004D2022" w:rsidP="004D2022">
      <w:pPr>
        <w:rPr>
          <w:sz w:val="22"/>
          <w:szCs w:val="22"/>
        </w:rPr>
      </w:pPr>
    </w:p>
    <w:p w14:paraId="1377CB86" w14:textId="766522B8" w:rsidR="004D2022" w:rsidRPr="00707625" w:rsidRDefault="00627E96" w:rsidP="004D2022">
      <w:pPr>
        <w:rPr>
          <w:sz w:val="22"/>
          <w:szCs w:val="22"/>
        </w:rPr>
      </w:pPr>
      <w:r>
        <w:rPr>
          <w:sz w:val="22"/>
          <w:szCs w:val="22"/>
        </w:rPr>
        <w:t>Because p</w:t>
      </w:r>
      <w:r w:rsidR="003E6A4C" w:rsidRPr="00707625">
        <w:rPr>
          <w:sz w:val="22"/>
          <w:szCs w:val="22"/>
        </w:rPr>
        <w:t>ull mechanisms</w:t>
      </w:r>
      <w:r>
        <w:rPr>
          <w:sz w:val="22"/>
          <w:szCs w:val="22"/>
        </w:rPr>
        <w:t xml:space="preserve"> are not yet prominent in the educational technology marketplace, and changing something as entrenched and complicated as the public procurement process is no small challenge, </w:t>
      </w:r>
      <w:r w:rsidR="003E6A4C" w:rsidRPr="00707625">
        <w:rPr>
          <w:sz w:val="22"/>
          <w:szCs w:val="22"/>
        </w:rPr>
        <w:t xml:space="preserve">the </w:t>
      </w:r>
      <w:r w:rsidR="00E641C4">
        <w:rPr>
          <w:sz w:val="22"/>
          <w:szCs w:val="22"/>
        </w:rPr>
        <w:t>f</w:t>
      </w:r>
      <w:r w:rsidR="003E6A4C" w:rsidRPr="00707625">
        <w:rPr>
          <w:sz w:val="22"/>
          <w:szCs w:val="22"/>
        </w:rPr>
        <w:t xml:space="preserve">ederal government </w:t>
      </w:r>
      <w:r>
        <w:rPr>
          <w:sz w:val="22"/>
          <w:szCs w:val="22"/>
        </w:rPr>
        <w:t xml:space="preserve">has an important role to play </w:t>
      </w:r>
      <w:r w:rsidR="00D80210" w:rsidRPr="00707625">
        <w:rPr>
          <w:sz w:val="22"/>
          <w:szCs w:val="22"/>
        </w:rPr>
        <w:t>to</w:t>
      </w:r>
      <w:r w:rsidR="00217E94" w:rsidRPr="00707625">
        <w:rPr>
          <w:sz w:val="22"/>
          <w:szCs w:val="22"/>
        </w:rPr>
        <w:t xml:space="preserve"> </w:t>
      </w:r>
      <w:r w:rsidR="00D80210" w:rsidRPr="00707625">
        <w:rPr>
          <w:sz w:val="22"/>
          <w:szCs w:val="22"/>
        </w:rPr>
        <w:t xml:space="preserve">make it </w:t>
      </w:r>
      <w:r>
        <w:rPr>
          <w:sz w:val="22"/>
          <w:szCs w:val="22"/>
        </w:rPr>
        <w:t xml:space="preserve">more attractive and </w:t>
      </w:r>
      <w:r w:rsidR="00D80210" w:rsidRPr="00707625">
        <w:rPr>
          <w:sz w:val="22"/>
          <w:szCs w:val="22"/>
        </w:rPr>
        <w:t>eas</w:t>
      </w:r>
      <w:r>
        <w:rPr>
          <w:sz w:val="22"/>
          <w:szCs w:val="22"/>
        </w:rPr>
        <w:t>ier</w:t>
      </w:r>
      <w:r w:rsidR="00D80210" w:rsidRPr="00707625">
        <w:rPr>
          <w:sz w:val="22"/>
          <w:szCs w:val="22"/>
        </w:rPr>
        <w:t xml:space="preserve"> for </w:t>
      </w:r>
      <w:r w:rsidR="005F4D8C">
        <w:rPr>
          <w:sz w:val="22"/>
          <w:szCs w:val="22"/>
        </w:rPr>
        <w:t>s</w:t>
      </w:r>
      <w:r w:rsidR="003E6A4C" w:rsidRPr="00707625">
        <w:rPr>
          <w:sz w:val="22"/>
          <w:szCs w:val="22"/>
        </w:rPr>
        <w:t xml:space="preserve">tates, school districts, </w:t>
      </w:r>
      <w:r w:rsidR="00003612">
        <w:rPr>
          <w:sz w:val="22"/>
          <w:szCs w:val="22"/>
        </w:rPr>
        <w:t xml:space="preserve">educational institutions, </w:t>
      </w:r>
      <w:r w:rsidR="003E6A4C" w:rsidRPr="00707625">
        <w:rPr>
          <w:sz w:val="22"/>
          <w:szCs w:val="22"/>
        </w:rPr>
        <w:t xml:space="preserve">and foundations to enter into these types of arrangements. </w:t>
      </w:r>
      <w:r w:rsidR="008D7BA4">
        <w:rPr>
          <w:sz w:val="22"/>
          <w:szCs w:val="22"/>
        </w:rPr>
        <w:t>T</w:t>
      </w:r>
      <w:r w:rsidR="008D7BA4" w:rsidRPr="00707625">
        <w:rPr>
          <w:sz w:val="22"/>
          <w:szCs w:val="22"/>
        </w:rPr>
        <w:t xml:space="preserve">he ability </w:t>
      </w:r>
      <w:r w:rsidR="008D7BA4">
        <w:rPr>
          <w:sz w:val="22"/>
          <w:szCs w:val="22"/>
        </w:rPr>
        <w:t>of the federal g</w:t>
      </w:r>
      <w:r w:rsidR="008D7BA4" w:rsidRPr="00707625">
        <w:rPr>
          <w:sz w:val="22"/>
          <w:szCs w:val="22"/>
        </w:rPr>
        <w:t xml:space="preserve">overnment, and the White House in particular, to convene a diverse group of stakeholders and widely publicize new initiatives, prizewinners, and program successes </w:t>
      </w:r>
      <w:r w:rsidR="008D7BA4">
        <w:rPr>
          <w:sz w:val="22"/>
          <w:szCs w:val="22"/>
        </w:rPr>
        <w:t>is o</w:t>
      </w:r>
      <w:r w:rsidR="00217E94" w:rsidRPr="00707625">
        <w:rPr>
          <w:sz w:val="22"/>
          <w:szCs w:val="22"/>
        </w:rPr>
        <w:t>f tremendous value to the growth and acceptance of pull mechanisms.</w:t>
      </w:r>
      <w:r w:rsidR="00CC06D6" w:rsidRPr="00707625">
        <w:rPr>
          <w:sz w:val="22"/>
          <w:szCs w:val="22"/>
        </w:rPr>
        <w:t xml:space="preserve"> </w:t>
      </w:r>
    </w:p>
    <w:p w14:paraId="30923D64" w14:textId="77777777" w:rsidR="00CC06D6" w:rsidRPr="00707625" w:rsidRDefault="00CC06D6" w:rsidP="004D2022">
      <w:pPr>
        <w:rPr>
          <w:sz w:val="22"/>
          <w:szCs w:val="22"/>
        </w:rPr>
      </w:pPr>
    </w:p>
    <w:p w14:paraId="3D95AEFE" w14:textId="28F2136A" w:rsidR="003E6A4C" w:rsidRDefault="00A82B47" w:rsidP="004D2022">
      <w:pPr>
        <w:rPr>
          <w:sz w:val="22"/>
          <w:szCs w:val="22"/>
        </w:rPr>
      </w:pPr>
      <w:r>
        <w:rPr>
          <w:sz w:val="22"/>
          <w:szCs w:val="22"/>
        </w:rPr>
        <w:t>Another group critical t</w:t>
      </w:r>
      <w:r w:rsidR="00CC06D6" w:rsidRPr="00707625">
        <w:rPr>
          <w:sz w:val="22"/>
          <w:szCs w:val="22"/>
        </w:rPr>
        <w:t>o the success of pull mechanisms will be independent organization</w:t>
      </w:r>
      <w:r>
        <w:rPr>
          <w:sz w:val="22"/>
          <w:szCs w:val="22"/>
        </w:rPr>
        <w:t xml:space="preserve">s that can help organize, </w:t>
      </w:r>
      <w:r w:rsidR="00CC06D6" w:rsidRPr="00707625">
        <w:rPr>
          <w:sz w:val="22"/>
          <w:szCs w:val="22"/>
        </w:rPr>
        <w:t>administer</w:t>
      </w:r>
      <w:r>
        <w:rPr>
          <w:sz w:val="22"/>
          <w:szCs w:val="22"/>
        </w:rPr>
        <w:t>, and promote</w:t>
      </w:r>
      <w:r w:rsidR="00CC06D6" w:rsidRPr="00707625">
        <w:rPr>
          <w:sz w:val="22"/>
          <w:szCs w:val="22"/>
        </w:rPr>
        <w:t xml:space="preserve"> these initiatives. Digital Promise is </w:t>
      </w:r>
      <w:r w:rsidR="00D06B89" w:rsidRPr="00707625">
        <w:rPr>
          <w:sz w:val="22"/>
          <w:szCs w:val="22"/>
        </w:rPr>
        <w:t>strategically</w:t>
      </w:r>
      <w:r w:rsidR="00CC06D6" w:rsidRPr="00707625">
        <w:rPr>
          <w:sz w:val="22"/>
          <w:szCs w:val="22"/>
        </w:rPr>
        <w:t xml:space="preserve"> positioned to play </w:t>
      </w:r>
      <w:r w:rsidR="00845A1E" w:rsidRPr="00707625">
        <w:rPr>
          <w:sz w:val="22"/>
          <w:szCs w:val="22"/>
        </w:rPr>
        <w:t>a</w:t>
      </w:r>
      <w:r w:rsidR="00262900" w:rsidRPr="00707625">
        <w:rPr>
          <w:sz w:val="22"/>
          <w:szCs w:val="22"/>
        </w:rPr>
        <w:t xml:space="preserve"> </w:t>
      </w:r>
      <w:r w:rsidR="00CC06D6" w:rsidRPr="00707625">
        <w:rPr>
          <w:sz w:val="22"/>
          <w:szCs w:val="22"/>
        </w:rPr>
        <w:t xml:space="preserve">role in </w:t>
      </w:r>
      <w:r>
        <w:rPr>
          <w:sz w:val="22"/>
          <w:szCs w:val="22"/>
        </w:rPr>
        <w:t>advancing</w:t>
      </w:r>
      <w:r w:rsidR="00217E94" w:rsidRPr="00707625">
        <w:rPr>
          <w:sz w:val="22"/>
          <w:szCs w:val="22"/>
        </w:rPr>
        <w:t xml:space="preserve"> </w:t>
      </w:r>
      <w:r w:rsidR="00CC06D6" w:rsidRPr="00707625">
        <w:rPr>
          <w:sz w:val="22"/>
          <w:szCs w:val="22"/>
        </w:rPr>
        <w:t xml:space="preserve">pull mechanisms to accelerate the development and adoption of learning technologies </w:t>
      </w:r>
      <w:r w:rsidR="008D7BA4">
        <w:rPr>
          <w:sz w:val="22"/>
          <w:szCs w:val="22"/>
        </w:rPr>
        <w:t xml:space="preserve">that are </w:t>
      </w:r>
      <w:r w:rsidR="00217E94" w:rsidRPr="00707625">
        <w:rPr>
          <w:sz w:val="22"/>
          <w:szCs w:val="22"/>
        </w:rPr>
        <w:t>focused on</w:t>
      </w:r>
      <w:r w:rsidR="00CC06D6" w:rsidRPr="00707625">
        <w:rPr>
          <w:sz w:val="22"/>
          <w:szCs w:val="22"/>
        </w:rPr>
        <w:t xml:space="preserve"> improv</w:t>
      </w:r>
      <w:r w:rsidR="00217E94" w:rsidRPr="00707625">
        <w:rPr>
          <w:sz w:val="22"/>
          <w:szCs w:val="22"/>
        </w:rPr>
        <w:t>ing</w:t>
      </w:r>
      <w:r w:rsidR="00CC06D6" w:rsidRPr="00707625">
        <w:rPr>
          <w:sz w:val="22"/>
          <w:szCs w:val="22"/>
        </w:rPr>
        <w:t xml:space="preserve"> learning outcomes</w:t>
      </w:r>
      <w:r w:rsidR="00217E94" w:rsidRPr="00707625">
        <w:rPr>
          <w:sz w:val="22"/>
          <w:szCs w:val="22"/>
        </w:rPr>
        <w:t xml:space="preserve"> at multiple levels.</w:t>
      </w:r>
      <w:r w:rsidR="00CC06D6" w:rsidRPr="00707625">
        <w:rPr>
          <w:sz w:val="22"/>
          <w:szCs w:val="22"/>
        </w:rPr>
        <w:t xml:space="preserve"> </w:t>
      </w:r>
    </w:p>
    <w:p w14:paraId="643D46D7" w14:textId="5B273BCD" w:rsidR="007C2E4C" w:rsidRPr="007C2E4C" w:rsidRDefault="007C2E4C" w:rsidP="00A81D56">
      <w:pPr>
        <w:pStyle w:val="Heading2"/>
        <w:rPr>
          <w:i/>
          <w:sz w:val="22"/>
          <w:szCs w:val="22"/>
        </w:rPr>
      </w:pPr>
      <w:r w:rsidRPr="00A81D56">
        <w:rPr>
          <w:rFonts w:asciiTheme="minorHAnsi" w:hAnsiTheme="minorHAnsi"/>
          <w:sz w:val="22"/>
          <w:szCs w:val="22"/>
        </w:rPr>
        <w:t>Current Activities</w:t>
      </w:r>
    </w:p>
    <w:p w14:paraId="1DD3A32A" w14:textId="77777777" w:rsidR="007C2E4C" w:rsidRPr="00707625" w:rsidRDefault="007C2E4C" w:rsidP="004D2022">
      <w:pPr>
        <w:rPr>
          <w:sz w:val="22"/>
          <w:szCs w:val="22"/>
        </w:rPr>
      </w:pPr>
    </w:p>
    <w:p w14:paraId="284431CD" w14:textId="177FC56B" w:rsidR="004D2022" w:rsidRDefault="00CC06D6" w:rsidP="00F02C0F">
      <w:pPr>
        <w:rPr>
          <w:sz w:val="22"/>
          <w:szCs w:val="22"/>
        </w:rPr>
      </w:pPr>
      <w:r w:rsidRPr="00707625">
        <w:rPr>
          <w:sz w:val="22"/>
          <w:szCs w:val="22"/>
        </w:rPr>
        <w:t>Digital P</w:t>
      </w:r>
      <w:r w:rsidR="00A82B47">
        <w:rPr>
          <w:sz w:val="22"/>
          <w:szCs w:val="22"/>
        </w:rPr>
        <w:t xml:space="preserve">romise </w:t>
      </w:r>
      <w:r w:rsidR="00F81A5E" w:rsidRPr="00707625">
        <w:rPr>
          <w:sz w:val="22"/>
          <w:szCs w:val="22"/>
        </w:rPr>
        <w:t xml:space="preserve">leads </w:t>
      </w:r>
      <w:r w:rsidR="00A82B47">
        <w:rPr>
          <w:sz w:val="22"/>
          <w:szCs w:val="22"/>
        </w:rPr>
        <w:t xml:space="preserve">several </w:t>
      </w:r>
      <w:r w:rsidR="00F81A5E" w:rsidRPr="00707625">
        <w:rPr>
          <w:sz w:val="22"/>
          <w:szCs w:val="22"/>
        </w:rPr>
        <w:t xml:space="preserve">relevant initiatives and </w:t>
      </w:r>
      <w:r w:rsidR="004D2022" w:rsidRPr="00707625">
        <w:rPr>
          <w:sz w:val="22"/>
          <w:szCs w:val="22"/>
        </w:rPr>
        <w:t>partner</w:t>
      </w:r>
      <w:r w:rsidR="00F02C0F" w:rsidRPr="00707625">
        <w:rPr>
          <w:sz w:val="22"/>
          <w:szCs w:val="22"/>
        </w:rPr>
        <w:t>s</w:t>
      </w:r>
      <w:r w:rsidR="004D2022" w:rsidRPr="00707625">
        <w:rPr>
          <w:sz w:val="22"/>
          <w:szCs w:val="22"/>
        </w:rPr>
        <w:t xml:space="preserve"> with critical actors needed to drive these advances – innovative </w:t>
      </w:r>
      <w:r w:rsidR="00F02C0F" w:rsidRPr="00707625">
        <w:rPr>
          <w:sz w:val="22"/>
          <w:szCs w:val="22"/>
        </w:rPr>
        <w:t>school districts</w:t>
      </w:r>
      <w:r w:rsidR="004D2022" w:rsidRPr="00707625">
        <w:rPr>
          <w:sz w:val="22"/>
          <w:szCs w:val="22"/>
        </w:rPr>
        <w:t xml:space="preserve">, </w:t>
      </w:r>
      <w:r w:rsidR="00F02C0F" w:rsidRPr="00707625">
        <w:rPr>
          <w:sz w:val="22"/>
          <w:szCs w:val="22"/>
        </w:rPr>
        <w:t xml:space="preserve">education technology </w:t>
      </w:r>
      <w:r w:rsidR="004D2022" w:rsidRPr="00707625">
        <w:rPr>
          <w:sz w:val="22"/>
          <w:szCs w:val="22"/>
        </w:rPr>
        <w:t xml:space="preserve">companies, leading researchers and thinkers, and </w:t>
      </w:r>
      <w:r w:rsidR="00F81A5E" w:rsidRPr="00707625">
        <w:rPr>
          <w:sz w:val="22"/>
          <w:szCs w:val="22"/>
        </w:rPr>
        <w:t xml:space="preserve">philanthropic </w:t>
      </w:r>
      <w:r w:rsidR="004D2022" w:rsidRPr="00707625">
        <w:rPr>
          <w:sz w:val="22"/>
          <w:szCs w:val="22"/>
        </w:rPr>
        <w:t>foundations involved in</w:t>
      </w:r>
      <w:r w:rsidR="00D80210" w:rsidRPr="00707625">
        <w:rPr>
          <w:sz w:val="22"/>
          <w:szCs w:val="22"/>
        </w:rPr>
        <w:t xml:space="preserve"> the</w:t>
      </w:r>
      <w:r w:rsidR="004D2022" w:rsidRPr="00707625">
        <w:rPr>
          <w:sz w:val="22"/>
          <w:szCs w:val="22"/>
        </w:rPr>
        <w:t xml:space="preserve"> digital learning </w:t>
      </w:r>
      <w:r w:rsidR="00F81A5E" w:rsidRPr="00707625">
        <w:rPr>
          <w:sz w:val="22"/>
          <w:szCs w:val="22"/>
        </w:rPr>
        <w:t>ecosystem</w:t>
      </w:r>
      <w:r w:rsidR="00F02C0F" w:rsidRPr="00707625">
        <w:rPr>
          <w:sz w:val="22"/>
          <w:szCs w:val="22"/>
        </w:rPr>
        <w:t>. These efforts include:</w:t>
      </w:r>
    </w:p>
    <w:p w14:paraId="42C4F44A" w14:textId="77777777" w:rsidR="00423195" w:rsidRPr="00707625" w:rsidRDefault="00423195" w:rsidP="00F02C0F">
      <w:pPr>
        <w:rPr>
          <w:sz w:val="22"/>
          <w:szCs w:val="22"/>
        </w:rPr>
      </w:pPr>
    </w:p>
    <w:p w14:paraId="7FD15F55" w14:textId="423DF635" w:rsidR="00F02C0F" w:rsidRPr="00707625" w:rsidRDefault="00CD3952" w:rsidP="00F02C0F">
      <w:pPr>
        <w:pStyle w:val="ListParagraph"/>
        <w:numPr>
          <w:ilvl w:val="0"/>
          <w:numId w:val="21"/>
        </w:numPr>
        <w:rPr>
          <w:sz w:val="22"/>
          <w:szCs w:val="22"/>
        </w:rPr>
      </w:pPr>
      <w:hyperlink r:id="rId9" w:history="1">
        <w:r w:rsidR="00355C57" w:rsidRPr="00CD3952">
          <w:rPr>
            <w:rStyle w:val="Hyperlink"/>
            <w:sz w:val="22"/>
            <w:szCs w:val="22"/>
          </w:rPr>
          <w:t>League of Innovative Schools</w:t>
        </w:r>
      </w:hyperlink>
      <w:r w:rsidR="00355C57">
        <w:rPr>
          <w:sz w:val="22"/>
          <w:szCs w:val="22"/>
        </w:rPr>
        <w:t xml:space="preserve"> - </w:t>
      </w:r>
      <w:r w:rsidR="00F02C0F" w:rsidRPr="00707625">
        <w:rPr>
          <w:sz w:val="22"/>
          <w:szCs w:val="22"/>
        </w:rPr>
        <w:t xml:space="preserve">The </w:t>
      </w:r>
      <w:r w:rsidR="006E59EA">
        <w:rPr>
          <w:sz w:val="22"/>
          <w:szCs w:val="22"/>
        </w:rPr>
        <w:t xml:space="preserve">Digital Promise </w:t>
      </w:r>
      <w:r w:rsidR="00F02C0F" w:rsidRPr="00707625">
        <w:rPr>
          <w:sz w:val="22"/>
          <w:szCs w:val="22"/>
        </w:rPr>
        <w:t>League of Innovative Schools</w:t>
      </w:r>
      <w:r w:rsidR="003006C5" w:rsidRPr="00707625">
        <w:rPr>
          <w:sz w:val="22"/>
          <w:szCs w:val="22"/>
        </w:rPr>
        <w:t>,</w:t>
      </w:r>
      <w:r w:rsidR="00F02C0F" w:rsidRPr="00707625">
        <w:rPr>
          <w:sz w:val="22"/>
          <w:szCs w:val="22"/>
        </w:rPr>
        <w:t xml:space="preserve"> a consortium of </w:t>
      </w:r>
      <w:r w:rsidR="00355C57">
        <w:rPr>
          <w:sz w:val="22"/>
          <w:szCs w:val="22"/>
        </w:rPr>
        <w:t>46</w:t>
      </w:r>
      <w:r w:rsidR="00355C57" w:rsidRPr="00707625">
        <w:rPr>
          <w:sz w:val="22"/>
          <w:szCs w:val="22"/>
        </w:rPr>
        <w:t xml:space="preserve"> </w:t>
      </w:r>
      <w:r w:rsidR="009308CF" w:rsidRPr="00707625">
        <w:rPr>
          <w:sz w:val="22"/>
          <w:szCs w:val="22"/>
        </w:rPr>
        <w:t xml:space="preserve">public school </w:t>
      </w:r>
      <w:r w:rsidR="00F02C0F" w:rsidRPr="00707625">
        <w:rPr>
          <w:sz w:val="22"/>
          <w:szCs w:val="22"/>
        </w:rPr>
        <w:t>districts in 2</w:t>
      </w:r>
      <w:r w:rsidR="00E81B11">
        <w:rPr>
          <w:sz w:val="22"/>
          <w:szCs w:val="22"/>
        </w:rPr>
        <w:t>5</w:t>
      </w:r>
      <w:r w:rsidR="00F02C0F" w:rsidRPr="00707625">
        <w:rPr>
          <w:sz w:val="22"/>
          <w:szCs w:val="22"/>
        </w:rPr>
        <w:t xml:space="preserve"> </w:t>
      </w:r>
      <w:r w:rsidR="009308CF" w:rsidRPr="00707625">
        <w:rPr>
          <w:sz w:val="22"/>
          <w:szCs w:val="22"/>
        </w:rPr>
        <w:t>s</w:t>
      </w:r>
      <w:r w:rsidR="00F02C0F" w:rsidRPr="00707625">
        <w:rPr>
          <w:sz w:val="22"/>
          <w:szCs w:val="22"/>
        </w:rPr>
        <w:t>tates that collectively serve nearly 3 million students. These districts are committed to demonstrating, evaluating, and scaling up innovations that deliver improved results for students</w:t>
      </w:r>
      <w:r w:rsidR="009308CF" w:rsidRPr="00707625">
        <w:rPr>
          <w:sz w:val="22"/>
          <w:szCs w:val="22"/>
        </w:rPr>
        <w:t>, and are frequently called upon as leaders among their peers</w:t>
      </w:r>
      <w:r w:rsidR="00F02C0F" w:rsidRPr="00707625">
        <w:rPr>
          <w:sz w:val="22"/>
          <w:szCs w:val="22"/>
        </w:rPr>
        <w:t>.</w:t>
      </w:r>
    </w:p>
    <w:p w14:paraId="4D155E0B" w14:textId="671EBBAA" w:rsidR="009308CF" w:rsidRPr="00707625" w:rsidRDefault="001A5520" w:rsidP="009257A1">
      <w:pPr>
        <w:pStyle w:val="ListParagraph"/>
        <w:numPr>
          <w:ilvl w:val="0"/>
          <w:numId w:val="23"/>
        </w:numPr>
        <w:rPr>
          <w:sz w:val="22"/>
          <w:szCs w:val="22"/>
        </w:rPr>
      </w:pPr>
      <w:hyperlink r:id="rId10" w:history="1">
        <w:r w:rsidR="00355C57" w:rsidRPr="001A5520">
          <w:rPr>
            <w:rStyle w:val="Hyperlink"/>
            <w:sz w:val="22"/>
            <w:szCs w:val="22"/>
          </w:rPr>
          <w:t>Marketplace</w:t>
        </w:r>
      </w:hyperlink>
      <w:r w:rsidR="00355C57">
        <w:rPr>
          <w:sz w:val="22"/>
          <w:szCs w:val="22"/>
        </w:rPr>
        <w:t xml:space="preserve"> - </w:t>
      </w:r>
      <w:r w:rsidR="00720716" w:rsidRPr="00707625">
        <w:rPr>
          <w:sz w:val="22"/>
          <w:szCs w:val="22"/>
        </w:rPr>
        <w:t>Market research to improve education</w:t>
      </w:r>
      <w:r w:rsidR="00003612">
        <w:rPr>
          <w:sz w:val="22"/>
          <w:szCs w:val="22"/>
        </w:rPr>
        <w:t>al</w:t>
      </w:r>
      <w:r w:rsidR="00720716" w:rsidRPr="00707625">
        <w:rPr>
          <w:sz w:val="22"/>
          <w:szCs w:val="22"/>
        </w:rPr>
        <w:t xml:space="preserve"> technology procurement policies and practices, including earlier work with IDEO</w:t>
      </w:r>
      <w:r w:rsidR="00014BB0">
        <w:rPr>
          <w:rStyle w:val="FootnoteReference"/>
          <w:sz w:val="22"/>
          <w:szCs w:val="22"/>
        </w:rPr>
        <w:footnoteReference w:id="5"/>
      </w:r>
      <w:r w:rsidR="00720716" w:rsidRPr="00707625">
        <w:rPr>
          <w:sz w:val="22"/>
          <w:szCs w:val="22"/>
        </w:rPr>
        <w:t xml:space="preserve"> and a current project with Johns Hopkins University and the Education Industry Association</w:t>
      </w:r>
      <w:r w:rsidR="00014BB0">
        <w:rPr>
          <w:rStyle w:val="FootnoteReference"/>
          <w:sz w:val="22"/>
          <w:szCs w:val="22"/>
        </w:rPr>
        <w:footnoteReference w:id="6"/>
      </w:r>
      <w:r w:rsidR="008D7BA4">
        <w:rPr>
          <w:sz w:val="22"/>
          <w:szCs w:val="22"/>
        </w:rPr>
        <w:t>, as well as</w:t>
      </w:r>
      <w:r w:rsidR="00720716" w:rsidRPr="00707625">
        <w:rPr>
          <w:sz w:val="22"/>
          <w:szCs w:val="22"/>
        </w:rPr>
        <w:t xml:space="preserve"> </w:t>
      </w:r>
      <w:r w:rsidR="002D0A9C">
        <w:rPr>
          <w:sz w:val="22"/>
          <w:szCs w:val="22"/>
        </w:rPr>
        <w:t>the development of plans for a Consumer Education Service.</w:t>
      </w:r>
    </w:p>
    <w:p w14:paraId="09451773" w14:textId="61B0F0C2" w:rsidR="0093349B" w:rsidRPr="00300F98" w:rsidRDefault="001A5520" w:rsidP="0093349B">
      <w:pPr>
        <w:pStyle w:val="ListParagraph"/>
        <w:numPr>
          <w:ilvl w:val="0"/>
          <w:numId w:val="23"/>
        </w:numPr>
        <w:rPr>
          <w:sz w:val="22"/>
          <w:szCs w:val="22"/>
        </w:rPr>
      </w:pPr>
      <w:hyperlink r:id="rId11" w:history="1">
        <w:r w:rsidR="00355C57" w:rsidRPr="001A5520">
          <w:rPr>
            <w:rStyle w:val="Hyperlink"/>
            <w:sz w:val="22"/>
            <w:szCs w:val="22"/>
          </w:rPr>
          <w:t>Research</w:t>
        </w:r>
      </w:hyperlink>
      <w:r w:rsidR="00355C57">
        <w:rPr>
          <w:sz w:val="22"/>
          <w:szCs w:val="22"/>
        </w:rPr>
        <w:t xml:space="preserve"> – Advance the use of research toward better product development and better decision making among practitioners. </w:t>
      </w:r>
      <w:r w:rsidR="0093349B" w:rsidRPr="00707625">
        <w:rPr>
          <w:sz w:val="22"/>
          <w:szCs w:val="22"/>
        </w:rPr>
        <w:t>The Teacher Wallets p</w:t>
      </w:r>
      <w:r w:rsidR="00003612">
        <w:rPr>
          <w:sz w:val="22"/>
          <w:szCs w:val="22"/>
        </w:rPr>
        <w:t>rojec</w:t>
      </w:r>
      <w:r w:rsidR="002D0A9C">
        <w:rPr>
          <w:sz w:val="22"/>
          <w:szCs w:val="22"/>
        </w:rPr>
        <w:t>t,</w:t>
      </w:r>
      <w:r w:rsidR="00003612">
        <w:rPr>
          <w:sz w:val="22"/>
          <w:szCs w:val="22"/>
        </w:rPr>
        <w:t xml:space="preserve"> a </w:t>
      </w:r>
      <w:r w:rsidR="0093349B" w:rsidRPr="00707625">
        <w:rPr>
          <w:sz w:val="22"/>
          <w:szCs w:val="22"/>
        </w:rPr>
        <w:t>procurement pilot program</w:t>
      </w:r>
      <w:r w:rsidR="002D0A9C">
        <w:rPr>
          <w:sz w:val="22"/>
          <w:szCs w:val="22"/>
        </w:rPr>
        <w:t>,</w:t>
      </w:r>
      <w:r w:rsidR="0093349B" w:rsidRPr="00707625">
        <w:rPr>
          <w:sz w:val="22"/>
          <w:szCs w:val="22"/>
        </w:rPr>
        <w:t xml:space="preserve"> </w:t>
      </w:r>
      <w:r w:rsidR="002D0A9C">
        <w:rPr>
          <w:sz w:val="22"/>
          <w:szCs w:val="22"/>
        </w:rPr>
        <w:t xml:space="preserve">engages researchers in developing better understanding of the decision making strategies of </w:t>
      </w:r>
      <w:r w:rsidR="0093349B" w:rsidRPr="00707625">
        <w:rPr>
          <w:sz w:val="22"/>
          <w:szCs w:val="22"/>
        </w:rPr>
        <w:t xml:space="preserve">individual educators </w:t>
      </w:r>
      <w:r w:rsidR="002D0A9C">
        <w:rPr>
          <w:sz w:val="22"/>
          <w:szCs w:val="22"/>
        </w:rPr>
        <w:t>when they are the</w:t>
      </w:r>
      <w:r w:rsidR="002D0A9C" w:rsidRPr="00707625">
        <w:rPr>
          <w:sz w:val="22"/>
          <w:szCs w:val="22"/>
        </w:rPr>
        <w:t xml:space="preserve"> </w:t>
      </w:r>
      <w:r w:rsidR="0093349B" w:rsidRPr="00707625">
        <w:rPr>
          <w:sz w:val="22"/>
          <w:szCs w:val="22"/>
        </w:rPr>
        <w:t>final decision-makers.</w:t>
      </w:r>
    </w:p>
    <w:p w14:paraId="42F060F0" w14:textId="3FB225A1" w:rsidR="00F02C0F" w:rsidRPr="00707625" w:rsidRDefault="001A5520" w:rsidP="00F02C0F">
      <w:pPr>
        <w:pStyle w:val="ListParagraph"/>
        <w:numPr>
          <w:ilvl w:val="0"/>
          <w:numId w:val="21"/>
        </w:numPr>
        <w:rPr>
          <w:sz w:val="22"/>
          <w:szCs w:val="22"/>
        </w:rPr>
      </w:pPr>
      <w:hyperlink r:id="rId12" w:history="1">
        <w:r w:rsidR="00355C57" w:rsidRPr="001A5520">
          <w:rPr>
            <w:rStyle w:val="Hyperlink"/>
            <w:sz w:val="22"/>
            <w:szCs w:val="22"/>
          </w:rPr>
          <w:t>Adult Learning</w:t>
        </w:r>
      </w:hyperlink>
      <w:r w:rsidR="00355C57">
        <w:rPr>
          <w:sz w:val="22"/>
          <w:szCs w:val="22"/>
        </w:rPr>
        <w:t xml:space="preserve"> - </w:t>
      </w:r>
      <w:r w:rsidR="002D0A9C">
        <w:rPr>
          <w:sz w:val="22"/>
          <w:szCs w:val="22"/>
        </w:rPr>
        <w:t>To</w:t>
      </w:r>
      <w:r w:rsidR="006E59EA">
        <w:rPr>
          <w:sz w:val="22"/>
          <w:szCs w:val="22"/>
        </w:rPr>
        <w:t xml:space="preserve"> </w:t>
      </w:r>
      <w:r w:rsidR="00F02C0F" w:rsidRPr="00707625">
        <w:rPr>
          <w:sz w:val="22"/>
          <w:szCs w:val="22"/>
        </w:rPr>
        <w:t xml:space="preserve">advance learning </w:t>
      </w:r>
      <w:r w:rsidR="006E59EA">
        <w:rPr>
          <w:sz w:val="22"/>
          <w:szCs w:val="22"/>
        </w:rPr>
        <w:t xml:space="preserve">and support </w:t>
      </w:r>
      <w:r w:rsidR="002D0A9C">
        <w:rPr>
          <w:sz w:val="22"/>
          <w:szCs w:val="22"/>
        </w:rPr>
        <w:t xml:space="preserve">for underserved and undereducated adults and close </w:t>
      </w:r>
      <w:r w:rsidR="006E59EA">
        <w:rPr>
          <w:sz w:val="22"/>
          <w:szCs w:val="22"/>
        </w:rPr>
        <w:t xml:space="preserve">the skills gap </w:t>
      </w:r>
      <w:r w:rsidR="00F02C0F" w:rsidRPr="00707625">
        <w:rPr>
          <w:sz w:val="22"/>
          <w:szCs w:val="22"/>
        </w:rPr>
        <w:t xml:space="preserve">through the use of digital </w:t>
      </w:r>
      <w:r w:rsidR="006E59EA">
        <w:rPr>
          <w:sz w:val="22"/>
          <w:szCs w:val="22"/>
        </w:rPr>
        <w:t>learning technologies</w:t>
      </w:r>
      <w:r w:rsidR="006E59EA" w:rsidRPr="00707625">
        <w:rPr>
          <w:sz w:val="22"/>
          <w:szCs w:val="22"/>
        </w:rPr>
        <w:t xml:space="preserve"> </w:t>
      </w:r>
      <w:r w:rsidR="00F02C0F" w:rsidRPr="00707625">
        <w:rPr>
          <w:sz w:val="22"/>
          <w:szCs w:val="22"/>
        </w:rPr>
        <w:t>and facilitate</w:t>
      </w:r>
      <w:r w:rsidR="006E59EA">
        <w:rPr>
          <w:sz w:val="22"/>
          <w:szCs w:val="22"/>
        </w:rPr>
        <w:t>d</w:t>
      </w:r>
      <w:r w:rsidR="00F02C0F" w:rsidRPr="00707625">
        <w:rPr>
          <w:sz w:val="22"/>
          <w:szCs w:val="22"/>
        </w:rPr>
        <w:t xml:space="preserve"> partnerships.</w:t>
      </w:r>
    </w:p>
    <w:p w14:paraId="09F8B55D" w14:textId="1D5C9E83" w:rsidR="00D80210" w:rsidRPr="00707625" w:rsidRDefault="001A5520" w:rsidP="00F02C0F">
      <w:pPr>
        <w:pStyle w:val="ListParagraph"/>
        <w:numPr>
          <w:ilvl w:val="0"/>
          <w:numId w:val="21"/>
        </w:numPr>
        <w:rPr>
          <w:sz w:val="22"/>
          <w:szCs w:val="22"/>
        </w:rPr>
      </w:pPr>
      <w:hyperlink r:id="rId13" w:history="1">
        <w:r w:rsidR="00355C57" w:rsidRPr="001A5520">
          <w:rPr>
            <w:rStyle w:val="Hyperlink"/>
            <w:sz w:val="22"/>
            <w:szCs w:val="22"/>
          </w:rPr>
          <w:t>Educator Micro-credentials</w:t>
        </w:r>
      </w:hyperlink>
      <w:r w:rsidR="00355C57">
        <w:rPr>
          <w:sz w:val="22"/>
          <w:szCs w:val="22"/>
        </w:rPr>
        <w:t xml:space="preserve"> - </w:t>
      </w:r>
      <w:r w:rsidR="00D80210" w:rsidRPr="00707625">
        <w:rPr>
          <w:sz w:val="22"/>
          <w:szCs w:val="22"/>
        </w:rPr>
        <w:t>The development of micro-credentials (i.e.</w:t>
      </w:r>
      <w:r w:rsidR="005F4D8C">
        <w:rPr>
          <w:sz w:val="22"/>
          <w:szCs w:val="22"/>
        </w:rPr>
        <w:t xml:space="preserve">, </w:t>
      </w:r>
      <w:r w:rsidR="00D80210" w:rsidRPr="00707625">
        <w:rPr>
          <w:sz w:val="22"/>
          <w:szCs w:val="22"/>
        </w:rPr>
        <w:t xml:space="preserve">digital badges) for K-12 educators </w:t>
      </w:r>
      <w:r w:rsidR="00355C57">
        <w:rPr>
          <w:sz w:val="22"/>
          <w:szCs w:val="22"/>
        </w:rPr>
        <w:t>that</w:t>
      </w:r>
      <w:r w:rsidR="00355C57" w:rsidRPr="00707625">
        <w:rPr>
          <w:sz w:val="22"/>
          <w:szCs w:val="22"/>
        </w:rPr>
        <w:t xml:space="preserve"> </w:t>
      </w:r>
      <w:r w:rsidR="00E56555">
        <w:rPr>
          <w:sz w:val="22"/>
          <w:szCs w:val="22"/>
        </w:rPr>
        <w:t>support</w:t>
      </w:r>
      <w:r w:rsidR="00E56555" w:rsidRPr="00707625">
        <w:rPr>
          <w:sz w:val="22"/>
          <w:szCs w:val="22"/>
        </w:rPr>
        <w:t xml:space="preserve"> </w:t>
      </w:r>
      <w:r w:rsidR="005F4D8C">
        <w:rPr>
          <w:sz w:val="22"/>
          <w:szCs w:val="22"/>
        </w:rPr>
        <w:t xml:space="preserve">the </w:t>
      </w:r>
      <w:r w:rsidR="00E56555">
        <w:rPr>
          <w:sz w:val="22"/>
          <w:szCs w:val="22"/>
        </w:rPr>
        <w:t xml:space="preserve">recognition of </w:t>
      </w:r>
      <w:r w:rsidR="00D80210" w:rsidRPr="00707625">
        <w:rPr>
          <w:sz w:val="22"/>
          <w:szCs w:val="22"/>
        </w:rPr>
        <w:t>teaching competencies</w:t>
      </w:r>
      <w:r w:rsidR="005F4D8C">
        <w:rPr>
          <w:sz w:val="22"/>
          <w:szCs w:val="22"/>
        </w:rPr>
        <w:t>,</w:t>
      </w:r>
      <w:r w:rsidR="00E56555">
        <w:rPr>
          <w:sz w:val="22"/>
          <w:szCs w:val="22"/>
        </w:rPr>
        <w:t xml:space="preserve"> including those that demonstrate the ability to engage students in deeper learning experiences,</w:t>
      </w:r>
      <w:r w:rsidR="008D7BA4">
        <w:rPr>
          <w:sz w:val="22"/>
          <w:szCs w:val="22"/>
        </w:rPr>
        <w:t xml:space="preserve"> which are </w:t>
      </w:r>
      <w:r w:rsidR="00E56555">
        <w:rPr>
          <w:sz w:val="22"/>
          <w:szCs w:val="22"/>
        </w:rPr>
        <w:t xml:space="preserve">critical </w:t>
      </w:r>
      <w:r w:rsidR="005F4D8C">
        <w:rPr>
          <w:sz w:val="22"/>
          <w:szCs w:val="22"/>
        </w:rPr>
        <w:t xml:space="preserve">in the </w:t>
      </w:r>
      <w:r w:rsidR="00E56555">
        <w:rPr>
          <w:sz w:val="22"/>
          <w:szCs w:val="22"/>
        </w:rPr>
        <w:t xml:space="preserve">attainment of </w:t>
      </w:r>
      <w:r w:rsidR="005F4D8C">
        <w:rPr>
          <w:sz w:val="22"/>
          <w:szCs w:val="22"/>
        </w:rPr>
        <w:t>the C</w:t>
      </w:r>
      <w:r w:rsidR="00E56555">
        <w:rPr>
          <w:sz w:val="22"/>
          <w:szCs w:val="22"/>
        </w:rPr>
        <w:t xml:space="preserve">ommon </w:t>
      </w:r>
      <w:r w:rsidR="005F4D8C">
        <w:rPr>
          <w:sz w:val="22"/>
          <w:szCs w:val="22"/>
        </w:rPr>
        <w:t>C</w:t>
      </w:r>
      <w:r w:rsidR="00E56555">
        <w:rPr>
          <w:sz w:val="22"/>
          <w:szCs w:val="22"/>
        </w:rPr>
        <w:t xml:space="preserve">ore </w:t>
      </w:r>
      <w:r w:rsidR="005F4D8C">
        <w:rPr>
          <w:sz w:val="22"/>
          <w:szCs w:val="22"/>
        </w:rPr>
        <w:t>S</w:t>
      </w:r>
      <w:r w:rsidR="00E56555">
        <w:rPr>
          <w:sz w:val="22"/>
          <w:szCs w:val="22"/>
        </w:rPr>
        <w:t>tandards</w:t>
      </w:r>
      <w:r w:rsidR="00D80210" w:rsidRPr="00707625">
        <w:rPr>
          <w:sz w:val="22"/>
          <w:szCs w:val="22"/>
        </w:rPr>
        <w:t>.</w:t>
      </w:r>
    </w:p>
    <w:p w14:paraId="20F045B5" w14:textId="77777777" w:rsidR="00720716" w:rsidRPr="00707625" w:rsidRDefault="00720716" w:rsidP="009257A1">
      <w:pPr>
        <w:rPr>
          <w:sz w:val="22"/>
          <w:szCs w:val="22"/>
        </w:rPr>
      </w:pPr>
    </w:p>
    <w:p w14:paraId="3EAECCD1" w14:textId="11C47ED6" w:rsidR="00423195" w:rsidRDefault="00E56555" w:rsidP="00F02C0F">
      <w:pPr>
        <w:rPr>
          <w:sz w:val="22"/>
          <w:szCs w:val="22"/>
        </w:rPr>
      </w:pPr>
      <w:r>
        <w:rPr>
          <w:sz w:val="22"/>
          <w:szCs w:val="22"/>
        </w:rPr>
        <w:t xml:space="preserve">Our work at Digital Promise focuses on the </w:t>
      </w:r>
      <w:r w:rsidR="00A44CC4">
        <w:rPr>
          <w:sz w:val="22"/>
          <w:szCs w:val="22"/>
        </w:rPr>
        <w:t>intersection of educators, researchers, and entrepreneurs</w:t>
      </w:r>
      <w:r>
        <w:rPr>
          <w:sz w:val="22"/>
          <w:szCs w:val="22"/>
        </w:rPr>
        <w:t xml:space="preserve"> and developers</w:t>
      </w:r>
      <w:r w:rsidR="00A44CC4">
        <w:rPr>
          <w:sz w:val="22"/>
          <w:szCs w:val="22"/>
        </w:rPr>
        <w:t>. Through these</w:t>
      </w:r>
      <w:r w:rsidR="00423195">
        <w:rPr>
          <w:sz w:val="22"/>
          <w:szCs w:val="22"/>
        </w:rPr>
        <w:t xml:space="preserve"> projects</w:t>
      </w:r>
      <w:r w:rsidR="00A44CC4">
        <w:rPr>
          <w:sz w:val="22"/>
          <w:szCs w:val="22"/>
        </w:rPr>
        <w:t xml:space="preserve"> and others</w:t>
      </w:r>
      <w:r w:rsidR="00423195">
        <w:rPr>
          <w:sz w:val="22"/>
          <w:szCs w:val="22"/>
        </w:rPr>
        <w:t>, we are developing a deep understanding of the educational technology marketplace, strong relationships with key stakeholders</w:t>
      </w:r>
      <w:r w:rsidR="00A44CC4">
        <w:rPr>
          <w:sz w:val="22"/>
          <w:szCs w:val="22"/>
        </w:rPr>
        <w:t xml:space="preserve">, and a vision for how we can best contribute to spurring innovation </w:t>
      </w:r>
      <w:r>
        <w:rPr>
          <w:sz w:val="22"/>
          <w:szCs w:val="22"/>
        </w:rPr>
        <w:t>to support learners of all ages</w:t>
      </w:r>
      <w:r w:rsidR="00A44CC4">
        <w:rPr>
          <w:sz w:val="22"/>
          <w:szCs w:val="22"/>
        </w:rPr>
        <w:t xml:space="preserve">. We </w:t>
      </w:r>
      <w:r w:rsidR="005F4D8C">
        <w:rPr>
          <w:sz w:val="22"/>
          <w:szCs w:val="22"/>
        </w:rPr>
        <w:t>view</w:t>
      </w:r>
      <w:r w:rsidR="00A44CC4">
        <w:rPr>
          <w:sz w:val="22"/>
          <w:szCs w:val="22"/>
        </w:rPr>
        <w:t xml:space="preserve"> advancing pull mechanisms – to catalyze development of new products that solve grand challenges in education, and to leverage buying power of educators working together – as </w:t>
      </w:r>
      <w:r w:rsidR="005F4D8C">
        <w:rPr>
          <w:sz w:val="22"/>
          <w:szCs w:val="22"/>
        </w:rPr>
        <w:t xml:space="preserve">a critical </w:t>
      </w:r>
      <w:r w:rsidR="00A44CC4">
        <w:rPr>
          <w:sz w:val="22"/>
          <w:szCs w:val="22"/>
        </w:rPr>
        <w:t>part of that vision.</w:t>
      </w:r>
    </w:p>
    <w:p w14:paraId="52F44D02" w14:textId="77777777" w:rsidR="00423195" w:rsidRDefault="00423195" w:rsidP="00F02C0F">
      <w:pPr>
        <w:rPr>
          <w:sz w:val="22"/>
          <w:szCs w:val="22"/>
        </w:rPr>
      </w:pPr>
    </w:p>
    <w:p w14:paraId="2E5590CB" w14:textId="6102FE0E" w:rsidR="006568C0" w:rsidRPr="00003612" w:rsidRDefault="002D0A9C" w:rsidP="006568C0">
      <w:pPr>
        <w:rPr>
          <w:sz w:val="22"/>
          <w:szCs w:val="22"/>
        </w:rPr>
      </w:pPr>
      <w:r>
        <w:rPr>
          <w:sz w:val="22"/>
          <w:szCs w:val="22"/>
        </w:rPr>
        <w:t>Our</w:t>
      </w:r>
      <w:r w:rsidR="006568C0" w:rsidRPr="00003612">
        <w:rPr>
          <w:sz w:val="22"/>
          <w:szCs w:val="22"/>
        </w:rPr>
        <w:t xml:space="preserve"> primary activities to support the expansion of pull mechanisms in the educational technology marketplace will be focused on connecting, convening, and communicating. We will gather and share insights about challenges and opportunities for pull mechanisms. Specifically, we will: </w:t>
      </w:r>
    </w:p>
    <w:p w14:paraId="23A07A17" w14:textId="77777777" w:rsidR="006568C0" w:rsidRPr="00707625" w:rsidRDefault="006568C0" w:rsidP="006568C0">
      <w:pPr>
        <w:rPr>
          <w:sz w:val="22"/>
          <w:szCs w:val="22"/>
        </w:rPr>
      </w:pPr>
    </w:p>
    <w:p w14:paraId="5E787CA0" w14:textId="6BDF2465" w:rsidR="006568C0" w:rsidRPr="00707625" w:rsidRDefault="006568C0" w:rsidP="000575D2">
      <w:pPr>
        <w:pStyle w:val="ListParagraph"/>
        <w:numPr>
          <w:ilvl w:val="0"/>
          <w:numId w:val="28"/>
        </w:numPr>
        <w:rPr>
          <w:sz w:val="22"/>
          <w:szCs w:val="22"/>
        </w:rPr>
      </w:pPr>
      <w:r w:rsidRPr="00707625">
        <w:rPr>
          <w:sz w:val="22"/>
          <w:szCs w:val="22"/>
        </w:rPr>
        <w:t xml:space="preserve">Establish and coordinate a smart demand network </w:t>
      </w:r>
      <w:r w:rsidR="007C1788">
        <w:rPr>
          <w:sz w:val="22"/>
          <w:szCs w:val="22"/>
        </w:rPr>
        <w:t>with</w:t>
      </w:r>
      <w:r w:rsidRPr="00707625">
        <w:rPr>
          <w:sz w:val="22"/>
          <w:szCs w:val="22"/>
        </w:rPr>
        <w:t xml:space="preserve">in the League of Innovative Schools </w:t>
      </w:r>
      <w:r w:rsidR="007C1788">
        <w:rPr>
          <w:sz w:val="22"/>
          <w:szCs w:val="22"/>
        </w:rPr>
        <w:t>so</w:t>
      </w:r>
      <w:r w:rsidR="007C1788" w:rsidRPr="00707625">
        <w:rPr>
          <w:sz w:val="22"/>
          <w:szCs w:val="22"/>
        </w:rPr>
        <w:t xml:space="preserve"> </w:t>
      </w:r>
      <w:r w:rsidRPr="00707625">
        <w:rPr>
          <w:sz w:val="22"/>
          <w:szCs w:val="22"/>
        </w:rPr>
        <w:t xml:space="preserve">leading superintendents and their designees </w:t>
      </w:r>
      <w:r w:rsidR="007C1788">
        <w:rPr>
          <w:sz w:val="22"/>
          <w:szCs w:val="22"/>
        </w:rPr>
        <w:t>can</w:t>
      </w:r>
      <w:r w:rsidR="007C1788" w:rsidRPr="00707625">
        <w:rPr>
          <w:sz w:val="22"/>
          <w:szCs w:val="22"/>
        </w:rPr>
        <w:t xml:space="preserve"> </w:t>
      </w:r>
      <w:r>
        <w:rPr>
          <w:sz w:val="22"/>
          <w:szCs w:val="22"/>
        </w:rPr>
        <w:t xml:space="preserve">begin </w:t>
      </w:r>
      <w:r w:rsidRPr="00707625">
        <w:rPr>
          <w:sz w:val="22"/>
          <w:szCs w:val="22"/>
        </w:rPr>
        <w:t>develop</w:t>
      </w:r>
      <w:r>
        <w:rPr>
          <w:sz w:val="22"/>
          <w:szCs w:val="22"/>
        </w:rPr>
        <w:t>ing and disseminating</w:t>
      </w:r>
      <w:r w:rsidRPr="00707625">
        <w:rPr>
          <w:sz w:val="22"/>
          <w:szCs w:val="22"/>
        </w:rPr>
        <w:t xml:space="preserve"> strategies for: </w:t>
      </w:r>
    </w:p>
    <w:p w14:paraId="4F51EFC6" w14:textId="77777777" w:rsidR="006568C0" w:rsidRPr="00707625" w:rsidRDefault="006568C0" w:rsidP="000575D2">
      <w:pPr>
        <w:pStyle w:val="ListParagraph"/>
        <w:numPr>
          <w:ilvl w:val="1"/>
          <w:numId w:val="28"/>
        </w:numPr>
        <w:rPr>
          <w:sz w:val="22"/>
          <w:szCs w:val="22"/>
        </w:rPr>
      </w:pPr>
      <w:r w:rsidRPr="00707625">
        <w:rPr>
          <w:sz w:val="22"/>
          <w:szCs w:val="22"/>
        </w:rPr>
        <w:t>Pull mechanisms that could improve acquisition of today’s technology solutions; and</w:t>
      </w:r>
    </w:p>
    <w:p w14:paraId="15685D1E" w14:textId="77777777" w:rsidR="006568C0" w:rsidRPr="00707625" w:rsidRDefault="006568C0" w:rsidP="000575D2">
      <w:pPr>
        <w:pStyle w:val="ListParagraph"/>
        <w:numPr>
          <w:ilvl w:val="1"/>
          <w:numId w:val="28"/>
        </w:numPr>
        <w:rPr>
          <w:sz w:val="22"/>
          <w:szCs w:val="22"/>
        </w:rPr>
      </w:pPr>
      <w:r w:rsidRPr="00707625">
        <w:rPr>
          <w:sz w:val="22"/>
          <w:szCs w:val="22"/>
        </w:rPr>
        <w:t>Pull mechanisms that could drive development of new solutions based on clear articulation of district needs and appropriate incentives for developers.</w:t>
      </w:r>
    </w:p>
    <w:p w14:paraId="5FC907BC" w14:textId="13D73A98" w:rsidR="006568C0" w:rsidRPr="00707625" w:rsidRDefault="006568C0" w:rsidP="000575D2">
      <w:pPr>
        <w:pStyle w:val="ListParagraph"/>
        <w:numPr>
          <w:ilvl w:val="0"/>
          <w:numId w:val="28"/>
        </w:numPr>
        <w:rPr>
          <w:sz w:val="22"/>
          <w:szCs w:val="22"/>
        </w:rPr>
      </w:pPr>
      <w:r w:rsidRPr="00707625">
        <w:rPr>
          <w:sz w:val="22"/>
          <w:szCs w:val="22"/>
        </w:rPr>
        <w:t xml:space="preserve">Begin investigating state, municipal, and school district policies that stand in the way of </w:t>
      </w:r>
      <w:r w:rsidR="007C1788">
        <w:rPr>
          <w:sz w:val="22"/>
          <w:szCs w:val="22"/>
        </w:rPr>
        <w:t xml:space="preserve">the </w:t>
      </w:r>
      <w:r w:rsidRPr="00707625">
        <w:rPr>
          <w:sz w:val="22"/>
          <w:szCs w:val="22"/>
        </w:rPr>
        <w:t>adoption of pull mechanisms in the educational technology marketplace.</w:t>
      </w:r>
    </w:p>
    <w:p w14:paraId="3E3AAE35" w14:textId="77777777" w:rsidR="006568C0" w:rsidRPr="00707625" w:rsidRDefault="006568C0" w:rsidP="000575D2">
      <w:pPr>
        <w:pStyle w:val="ListParagraph"/>
        <w:numPr>
          <w:ilvl w:val="0"/>
          <w:numId w:val="28"/>
        </w:numPr>
        <w:rPr>
          <w:sz w:val="22"/>
          <w:szCs w:val="22"/>
        </w:rPr>
      </w:pPr>
      <w:r w:rsidRPr="00707625">
        <w:rPr>
          <w:sz w:val="22"/>
          <w:szCs w:val="22"/>
        </w:rPr>
        <w:t>Identify specific challenges and opportunities for pull mechanisms, informed by our market study on educational technology procurement to be concluded in fall 2014.</w:t>
      </w:r>
    </w:p>
    <w:p w14:paraId="6C3A0B35" w14:textId="698ECB27" w:rsidR="006568C0" w:rsidRPr="00707625" w:rsidRDefault="006568C0" w:rsidP="000575D2">
      <w:pPr>
        <w:pStyle w:val="ListParagraph"/>
        <w:numPr>
          <w:ilvl w:val="0"/>
          <w:numId w:val="28"/>
        </w:numPr>
        <w:rPr>
          <w:sz w:val="22"/>
          <w:szCs w:val="22"/>
        </w:rPr>
      </w:pPr>
      <w:r w:rsidRPr="00707625">
        <w:rPr>
          <w:sz w:val="22"/>
          <w:szCs w:val="22"/>
        </w:rPr>
        <w:t xml:space="preserve">Conduct a pilot prize competition </w:t>
      </w:r>
      <w:r w:rsidR="007C1788">
        <w:rPr>
          <w:sz w:val="22"/>
          <w:szCs w:val="22"/>
        </w:rPr>
        <w:t>in</w:t>
      </w:r>
      <w:r w:rsidR="007C1788" w:rsidRPr="00707625">
        <w:rPr>
          <w:sz w:val="22"/>
          <w:szCs w:val="22"/>
        </w:rPr>
        <w:t xml:space="preserve"> </w:t>
      </w:r>
      <w:r>
        <w:rPr>
          <w:sz w:val="22"/>
          <w:szCs w:val="22"/>
        </w:rPr>
        <w:t>identified school districts</w:t>
      </w:r>
      <w:r w:rsidR="007C1788">
        <w:rPr>
          <w:sz w:val="22"/>
          <w:szCs w:val="22"/>
        </w:rPr>
        <w:t>,</w:t>
      </w:r>
      <w:r>
        <w:rPr>
          <w:sz w:val="22"/>
          <w:szCs w:val="22"/>
        </w:rPr>
        <w:t xml:space="preserve"> including within the</w:t>
      </w:r>
      <w:r w:rsidRPr="00707625">
        <w:rPr>
          <w:sz w:val="22"/>
          <w:szCs w:val="22"/>
        </w:rPr>
        <w:t xml:space="preserve"> League of Innovative Schools</w:t>
      </w:r>
      <w:r w:rsidR="007C1788">
        <w:rPr>
          <w:sz w:val="22"/>
          <w:szCs w:val="22"/>
        </w:rPr>
        <w:t>,</w:t>
      </w:r>
      <w:r w:rsidRPr="00707625">
        <w:rPr>
          <w:sz w:val="22"/>
          <w:szCs w:val="22"/>
        </w:rPr>
        <w:t xml:space="preserve"> to promote the use of micro-credentials for teacher competencies </w:t>
      </w:r>
      <w:r>
        <w:rPr>
          <w:sz w:val="22"/>
          <w:szCs w:val="22"/>
        </w:rPr>
        <w:t>to support the move to competency</w:t>
      </w:r>
      <w:r w:rsidR="007C1788">
        <w:rPr>
          <w:sz w:val="22"/>
          <w:szCs w:val="22"/>
        </w:rPr>
        <w:t>-</w:t>
      </w:r>
      <w:r>
        <w:rPr>
          <w:sz w:val="22"/>
          <w:szCs w:val="22"/>
        </w:rPr>
        <w:t>based education</w:t>
      </w:r>
      <w:r w:rsidR="005F4D8C">
        <w:rPr>
          <w:sz w:val="22"/>
          <w:szCs w:val="22"/>
        </w:rPr>
        <w:t>.</w:t>
      </w:r>
    </w:p>
    <w:p w14:paraId="32B6EAAC" w14:textId="6819EB08" w:rsidR="006568C0" w:rsidRPr="00A81D56" w:rsidRDefault="006568C0" w:rsidP="00F02C0F">
      <w:pPr>
        <w:pStyle w:val="ListParagraph"/>
        <w:numPr>
          <w:ilvl w:val="0"/>
          <w:numId w:val="28"/>
        </w:numPr>
        <w:rPr>
          <w:sz w:val="22"/>
          <w:szCs w:val="22"/>
        </w:rPr>
      </w:pPr>
      <w:r w:rsidRPr="00707625">
        <w:rPr>
          <w:sz w:val="22"/>
          <w:szCs w:val="22"/>
        </w:rPr>
        <w:t xml:space="preserve">Contribute to the national conversation about </w:t>
      </w:r>
      <w:r>
        <w:rPr>
          <w:sz w:val="22"/>
          <w:szCs w:val="22"/>
        </w:rPr>
        <w:t xml:space="preserve">both </w:t>
      </w:r>
      <w:r w:rsidRPr="00707625">
        <w:rPr>
          <w:sz w:val="22"/>
          <w:szCs w:val="22"/>
        </w:rPr>
        <w:t xml:space="preserve">pull and push mechanisms for </w:t>
      </w:r>
      <w:r>
        <w:rPr>
          <w:sz w:val="22"/>
          <w:szCs w:val="22"/>
        </w:rPr>
        <w:t xml:space="preserve">developing a </w:t>
      </w:r>
      <w:r w:rsidRPr="00707625">
        <w:rPr>
          <w:sz w:val="22"/>
          <w:szCs w:val="22"/>
        </w:rPr>
        <w:t xml:space="preserve">smarter demand and smarter supply in the educational technology marketplace through </w:t>
      </w:r>
      <w:r>
        <w:rPr>
          <w:sz w:val="22"/>
          <w:szCs w:val="22"/>
        </w:rPr>
        <w:t>a strategic communications campaign</w:t>
      </w:r>
      <w:r w:rsidRPr="00707625">
        <w:rPr>
          <w:sz w:val="22"/>
          <w:szCs w:val="22"/>
        </w:rPr>
        <w:t xml:space="preserve">. </w:t>
      </w:r>
    </w:p>
    <w:p w14:paraId="0B2E147F" w14:textId="650588B2" w:rsidR="007C2E4C" w:rsidRPr="00A81D56" w:rsidRDefault="007C2E4C" w:rsidP="00A81D56">
      <w:pPr>
        <w:pStyle w:val="Heading2"/>
        <w:rPr>
          <w:rFonts w:asciiTheme="minorHAnsi" w:hAnsiTheme="minorHAnsi"/>
          <w:sz w:val="22"/>
          <w:szCs w:val="22"/>
        </w:rPr>
      </w:pPr>
      <w:r w:rsidRPr="00A81D56">
        <w:rPr>
          <w:rFonts w:asciiTheme="minorHAnsi" w:hAnsiTheme="minorHAnsi"/>
          <w:sz w:val="22"/>
          <w:szCs w:val="22"/>
        </w:rPr>
        <w:t>Ideas for future work</w:t>
      </w:r>
    </w:p>
    <w:p w14:paraId="01D50AA2" w14:textId="77777777" w:rsidR="007C2E4C" w:rsidRDefault="007C2E4C" w:rsidP="00F02C0F">
      <w:pPr>
        <w:rPr>
          <w:sz w:val="22"/>
          <w:szCs w:val="22"/>
        </w:rPr>
      </w:pPr>
    </w:p>
    <w:p w14:paraId="6062A7F5" w14:textId="4AD94B05" w:rsidR="00262900" w:rsidRPr="00707625" w:rsidRDefault="002D0A9C" w:rsidP="00F02C0F">
      <w:pPr>
        <w:rPr>
          <w:sz w:val="22"/>
          <w:szCs w:val="22"/>
        </w:rPr>
      </w:pPr>
      <w:r>
        <w:rPr>
          <w:sz w:val="22"/>
          <w:szCs w:val="22"/>
        </w:rPr>
        <w:t>There</w:t>
      </w:r>
      <w:r w:rsidR="006568C0">
        <w:rPr>
          <w:sz w:val="22"/>
          <w:szCs w:val="22"/>
        </w:rPr>
        <w:t xml:space="preserve"> are a number of things we could do to continue advancing pull mechanisms in the educational technology marketplace</w:t>
      </w:r>
      <w:r w:rsidR="00E5335E">
        <w:rPr>
          <w:sz w:val="22"/>
          <w:szCs w:val="22"/>
        </w:rPr>
        <w:t xml:space="preserve">, </w:t>
      </w:r>
      <w:r w:rsidR="00262900" w:rsidRPr="00707625">
        <w:rPr>
          <w:sz w:val="22"/>
          <w:szCs w:val="22"/>
        </w:rPr>
        <w:t>including:</w:t>
      </w:r>
    </w:p>
    <w:p w14:paraId="315AB0DE" w14:textId="77777777" w:rsidR="00720716" w:rsidRPr="00707625" w:rsidRDefault="00720716" w:rsidP="00F02C0F">
      <w:pPr>
        <w:rPr>
          <w:sz w:val="22"/>
          <w:szCs w:val="22"/>
        </w:rPr>
      </w:pPr>
    </w:p>
    <w:p w14:paraId="2E7AAF06" w14:textId="29EEE58B" w:rsidR="006568C0" w:rsidRPr="000575D2" w:rsidRDefault="006568C0" w:rsidP="00E5335E">
      <w:pPr>
        <w:pStyle w:val="ListParagraph"/>
        <w:numPr>
          <w:ilvl w:val="0"/>
          <w:numId w:val="11"/>
        </w:numPr>
        <w:rPr>
          <w:sz w:val="22"/>
          <w:szCs w:val="22"/>
        </w:rPr>
      </w:pPr>
      <w:r w:rsidRPr="00707625">
        <w:rPr>
          <w:sz w:val="22"/>
          <w:szCs w:val="22"/>
        </w:rPr>
        <w:t>Conven</w:t>
      </w:r>
      <w:r w:rsidR="00E5335E">
        <w:rPr>
          <w:sz w:val="22"/>
          <w:szCs w:val="22"/>
        </w:rPr>
        <w:t>ing</w:t>
      </w:r>
      <w:r w:rsidRPr="00707625">
        <w:rPr>
          <w:sz w:val="22"/>
          <w:szCs w:val="22"/>
        </w:rPr>
        <w:t xml:space="preserve"> state, municipal, and school district policy officials to better understand and develop creative strategies for overcoming legal and regulatory hurdles that stand in the way of </w:t>
      </w:r>
      <w:r w:rsidR="007C1788">
        <w:rPr>
          <w:sz w:val="22"/>
          <w:szCs w:val="22"/>
        </w:rPr>
        <w:t xml:space="preserve">the </w:t>
      </w:r>
      <w:r w:rsidRPr="00707625">
        <w:rPr>
          <w:sz w:val="22"/>
          <w:szCs w:val="22"/>
        </w:rPr>
        <w:t>adoption of pull mechanisms in the educational technology marketplace</w:t>
      </w:r>
      <w:r w:rsidR="00E5335E">
        <w:rPr>
          <w:sz w:val="22"/>
          <w:szCs w:val="22"/>
        </w:rPr>
        <w:t>, and d</w:t>
      </w:r>
      <w:r w:rsidR="003006C5" w:rsidRPr="00707625">
        <w:rPr>
          <w:sz w:val="22"/>
          <w:szCs w:val="22"/>
        </w:rPr>
        <w:t>eveloping strategies for overcoming them</w:t>
      </w:r>
      <w:r w:rsidR="00E5335E">
        <w:rPr>
          <w:sz w:val="22"/>
          <w:szCs w:val="22"/>
        </w:rPr>
        <w:t>.</w:t>
      </w:r>
    </w:p>
    <w:p w14:paraId="00790046" w14:textId="20BAD3FA" w:rsidR="006568C0" w:rsidRPr="000575D2" w:rsidRDefault="00E56555" w:rsidP="000575D2">
      <w:pPr>
        <w:pStyle w:val="ListParagraph"/>
        <w:numPr>
          <w:ilvl w:val="0"/>
          <w:numId w:val="11"/>
        </w:numPr>
        <w:rPr>
          <w:b/>
          <w:sz w:val="22"/>
          <w:szCs w:val="22"/>
        </w:rPr>
      </w:pPr>
      <w:r w:rsidRPr="000575D2">
        <w:rPr>
          <w:sz w:val="22"/>
          <w:szCs w:val="22"/>
        </w:rPr>
        <w:t xml:space="preserve">Developing a Consumer Information Service focused on providing </w:t>
      </w:r>
      <w:r w:rsidR="00E5335E">
        <w:rPr>
          <w:sz w:val="22"/>
          <w:szCs w:val="22"/>
        </w:rPr>
        <w:t xml:space="preserve">credible </w:t>
      </w:r>
      <w:r w:rsidRPr="000575D2">
        <w:rPr>
          <w:sz w:val="22"/>
          <w:szCs w:val="22"/>
        </w:rPr>
        <w:t xml:space="preserve">information and documentation of current and emerging products and services to facilitate innovative </w:t>
      </w:r>
      <w:r w:rsidR="00E5335E">
        <w:rPr>
          <w:sz w:val="22"/>
          <w:szCs w:val="22"/>
        </w:rPr>
        <w:t>acquisition</w:t>
      </w:r>
      <w:r w:rsidRPr="000575D2">
        <w:rPr>
          <w:sz w:val="22"/>
          <w:szCs w:val="22"/>
        </w:rPr>
        <w:t xml:space="preserve"> strategies such as cooperative purchasing agreements, </w:t>
      </w:r>
      <w:r w:rsidR="009850FD">
        <w:rPr>
          <w:sz w:val="22"/>
          <w:szCs w:val="22"/>
        </w:rPr>
        <w:t>t</w:t>
      </w:r>
      <w:r w:rsidRPr="000575D2">
        <w:rPr>
          <w:sz w:val="22"/>
          <w:szCs w:val="22"/>
        </w:rPr>
        <w:t xml:space="preserve">eacher </w:t>
      </w:r>
      <w:r w:rsidR="009850FD">
        <w:rPr>
          <w:sz w:val="22"/>
          <w:szCs w:val="22"/>
        </w:rPr>
        <w:t>w</w:t>
      </w:r>
      <w:r w:rsidRPr="000575D2">
        <w:rPr>
          <w:sz w:val="22"/>
          <w:szCs w:val="22"/>
        </w:rPr>
        <w:t>allets</w:t>
      </w:r>
      <w:r w:rsidR="00E5335E">
        <w:rPr>
          <w:sz w:val="22"/>
          <w:szCs w:val="22"/>
        </w:rPr>
        <w:t>,</w:t>
      </w:r>
      <w:r w:rsidR="00A961A3">
        <w:rPr>
          <w:sz w:val="22"/>
          <w:szCs w:val="22"/>
        </w:rPr>
        <w:t xml:space="preserve"> and advance</w:t>
      </w:r>
      <w:r w:rsidRPr="000575D2">
        <w:rPr>
          <w:sz w:val="22"/>
          <w:szCs w:val="22"/>
        </w:rPr>
        <w:t xml:space="preserve"> market commitmen</w:t>
      </w:r>
      <w:r w:rsidR="006568C0" w:rsidRPr="000575D2">
        <w:rPr>
          <w:sz w:val="22"/>
          <w:szCs w:val="22"/>
        </w:rPr>
        <w:t xml:space="preserve">ts based on challenges and gaps. This would facilitate the ability to easily identify products, prices, pilot opportunities, and evidence for educational technology products in the marketplace, whether free or paid.  </w:t>
      </w:r>
    </w:p>
    <w:p w14:paraId="4465998B" w14:textId="77C992D0" w:rsidR="00981B5A" w:rsidRPr="00707625" w:rsidRDefault="00981B5A" w:rsidP="00981B5A">
      <w:pPr>
        <w:pStyle w:val="ListParagraph"/>
        <w:numPr>
          <w:ilvl w:val="0"/>
          <w:numId w:val="11"/>
        </w:numPr>
        <w:rPr>
          <w:sz w:val="22"/>
          <w:szCs w:val="22"/>
        </w:rPr>
      </w:pPr>
      <w:r w:rsidRPr="00707625">
        <w:rPr>
          <w:sz w:val="22"/>
          <w:szCs w:val="22"/>
        </w:rPr>
        <w:t>Develop</w:t>
      </w:r>
      <w:r w:rsidR="00E5335E">
        <w:rPr>
          <w:sz w:val="22"/>
          <w:szCs w:val="22"/>
        </w:rPr>
        <w:t>ing</w:t>
      </w:r>
      <w:r w:rsidRPr="00707625">
        <w:rPr>
          <w:sz w:val="22"/>
          <w:szCs w:val="22"/>
        </w:rPr>
        <w:t xml:space="preserve"> an online procurement platform for school districts to</w:t>
      </w:r>
      <w:r>
        <w:rPr>
          <w:sz w:val="22"/>
          <w:szCs w:val="22"/>
        </w:rPr>
        <w:t>:</w:t>
      </w:r>
      <w:r w:rsidRPr="00707625">
        <w:rPr>
          <w:sz w:val="22"/>
          <w:szCs w:val="22"/>
        </w:rPr>
        <w:t xml:space="preserve"> </w:t>
      </w:r>
    </w:p>
    <w:p w14:paraId="08C0436A" w14:textId="77777777" w:rsidR="00981B5A" w:rsidRPr="00707625" w:rsidRDefault="00981B5A" w:rsidP="00981B5A">
      <w:pPr>
        <w:pStyle w:val="ListParagraph"/>
        <w:numPr>
          <w:ilvl w:val="1"/>
          <w:numId w:val="11"/>
        </w:numPr>
        <w:rPr>
          <w:sz w:val="22"/>
          <w:szCs w:val="22"/>
        </w:rPr>
      </w:pPr>
      <w:r w:rsidRPr="00707625">
        <w:rPr>
          <w:sz w:val="22"/>
          <w:szCs w:val="22"/>
        </w:rPr>
        <w:t>Communicate their key characteristics and instructional needs</w:t>
      </w:r>
      <w:r>
        <w:rPr>
          <w:sz w:val="22"/>
          <w:szCs w:val="22"/>
        </w:rPr>
        <w:t>;</w:t>
      </w:r>
    </w:p>
    <w:p w14:paraId="52E6EBC9" w14:textId="77777777" w:rsidR="00981B5A" w:rsidRPr="00707625" w:rsidRDefault="00981B5A" w:rsidP="00981B5A">
      <w:pPr>
        <w:pStyle w:val="ListParagraph"/>
        <w:numPr>
          <w:ilvl w:val="1"/>
          <w:numId w:val="11"/>
        </w:numPr>
        <w:rPr>
          <w:sz w:val="22"/>
          <w:szCs w:val="22"/>
        </w:rPr>
      </w:pPr>
      <w:r w:rsidRPr="00707625">
        <w:rPr>
          <w:sz w:val="22"/>
          <w:szCs w:val="22"/>
        </w:rPr>
        <w:t>Connect and collaborate with other districts with similar characteristics or needs</w:t>
      </w:r>
      <w:r>
        <w:rPr>
          <w:sz w:val="22"/>
          <w:szCs w:val="22"/>
        </w:rPr>
        <w:t>; and</w:t>
      </w:r>
    </w:p>
    <w:p w14:paraId="4F3A8EAE" w14:textId="73202715" w:rsidR="00E56555" w:rsidRPr="000575D2" w:rsidRDefault="00981B5A" w:rsidP="000575D2">
      <w:pPr>
        <w:pStyle w:val="ListParagraph"/>
        <w:numPr>
          <w:ilvl w:val="1"/>
          <w:numId w:val="11"/>
        </w:numPr>
        <w:rPr>
          <w:sz w:val="22"/>
          <w:szCs w:val="22"/>
        </w:rPr>
      </w:pPr>
      <w:r w:rsidRPr="00707625">
        <w:rPr>
          <w:sz w:val="22"/>
          <w:szCs w:val="22"/>
        </w:rPr>
        <w:t>Identify and acquire educational technology solutions that are a strong fit</w:t>
      </w:r>
      <w:r>
        <w:rPr>
          <w:sz w:val="22"/>
          <w:szCs w:val="22"/>
        </w:rPr>
        <w:t>, either on their own or collaboratively with other districts.</w:t>
      </w:r>
    </w:p>
    <w:p w14:paraId="43C51546" w14:textId="455A7CC1" w:rsidR="00981B5A" w:rsidRPr="00707625" w:rsidRDefault="00165259" w:rsidP="00165259">
      <w:pPr>
        <w:pStyle w:val="ListParagraph"/>
        <w:numPr>
          <w:ilvl w:val="0"/>
          <w:numId w:val="11"/>
        </w:numPr>
        <w:rPr>
          <w:sz w:val="22"/>
          <w:szCs w:val="22"/>
        </w:rPr>
      </w:pPr>
      <w:r w:rsidRPr="00707625">
        <w:rPr>
          <w:sz w:val="22"/>
          <w:szCs w:val="22"/>
        </w:rPr>
        <w:t>Empowering the League of Innovative Schools</w:t>
      </w:r>
      <w:r w:rsidR="00E56555">
        <w:rPr>
          <w:sz w:val="22"/>
          <w:szCs w:val="22"/>
        </w:rPr>
        <w:t>, adult learning consortia</w:t>
      </w:r>
      <w:r w:rsidR="007C1788">
        <w:rPr>
          <w:sz w:val="22"/>
          <w:szCs w:val="22"/>
        </w:rPr>
        <w:t>,</w:t>
      </w:r>
      <w:r w:rsidRPr="00707625">
        <w:rPr>
          <w:sz w:val="22"/>
          <w:szCs w:val="22"/>
        </w:rPr>
        <w:t xml:space="preserve"> and other educators </w:t>
      </w:r>
      <w:r w:rsidR="00A44CC4">
        <w:rPr>
          <w:sz w:val="22"/>
          <w:szCs w:val="22"/>
        </w:rPr>
        <w:t>with tools and strategies to adopt</w:t>
      </w:r>
      <w:r w:rsidRPr="00707625">
        <w:rPr>
          <w:sz w:val="22"/>
          <w:szCs w:val="22"/>
        </w:rPr>
        <w:t xml:space="preserve"> and eval</w:t>
      </w:r>
      <w:r w:rsidR="00A44CC4">
        <w:rPr>
          <w:sz w:val="22"/>
          <w:szCs w:val="22"/>
        </w:rPr>
        <w:t>uate the use of pull mechanisms</w:t>
      </w:r>
      <w:r w:rsidR="00E5335E">
        <w:rPr>
          <w:sz w:val="22"/>
          <w:szCs w:val="22"/>
        </w:rPr>
        <w:t xml:space="preserve"> – </w:t>
      </w:r>
      <w:r w:rsidR="007C1788">
        <w:rPr>
          <w:sz w:val="22"/>
          <w:szCs w:val="22"/>
        </w:rPr>
        <w:t xml:space="preserve">starting with </w:t>
      </w:r>
      <w:r w:rsidR="00A44CC4">
        <w:rPr>
          <w:sz w:val="22"/>
          <w:szCs w:val="22"/>
        </w:rPr>
        <w:t xml:space="preserve">cooperative purchasing and prizes, and later </w:t>
      </w:r>
      <w:r w:rsidR="007C1788">
        <w:rPr>
          <w:sz w:val="22"/>
          <w:szCs w:val="22"/>
        </w:rPr>
        <w:t xml:space="preserve">moving to </w:t>
      </w:r>
      <w:r w:rsidR="00DF63E1">
        <w:rPr>
          <w:sz w:val="22"/>
          <w:szCs w:val="22"/>
        </w:rPr>
        <w:t>advance market commitments and pay-for-success programs</w:t>
      </w:r>
      <w:r w:rsidR="00E5335E">
        <w:rPr>
          <w:sz w:val="22"/>
          <w:szCs w:val="22"/>
        </w:rPr>
        <w:t>.</w:t>
      </w:r>
      <w:r w:rsidRPr="00707625">
        <w:rPr>
          <w:sz w:val="22"/>
          <w:szCs w:val="22"/>
        </w:rPr>
        <w:t xml:space="preserve"> </w:t>
      </w:r>
    </w:p>
    <w:p w14:paraId="21AC09B9" w14:textId="03FB6245" w:rsidR="00981B5A" w:rsidRPr="000575D2" w:rsidRDefault="004D2022" w:rsidP="000575D2">
      <w:pPr>
        <w:pStyle w:val="ListParagraph"/>
        <w:numPr>
          <w:ilvl w:val="0"/>
          <w:numId w:val="11"/>
        </w:numPr>
        <w:rPr>
          <w:sz w:val="22"/>
          <w:szCs w:val="22"/>
        </w:rPr>
      </w:pPr>
      <w:r w:rsidRPr="000575D2">
        <w:rPr>
          <w:sz w:val="22"/>
          <w:szCs w:val="22"/>
        </w:rPr>
        <w:t>Creat</w:t>
      </w:r>
      <w:r w:rsidR="00262900" w:rsidRPr="000575D2">
        <w:rPr>
          <w:sz w:val="22"/>
          <w:szCs w:val="22"/>
        </w:rPr>
        <w:t>ing</w:t>
      </w:r>
      <w:r w:rsidRPr="000575D2">
        <w:rPr>
          <w:sz w:val="22"/>
          <w:szCs w:val="22"/>
        </w:rPr>
        <w:t xml:space="preserve"> and administer</w:t>
      </w:r>
      <w:r w:rsidR="00262900" w:rsidRPr="000575D2">
        <w:rPr>
          <w:sz w:val="22"/>
          <w:szCs w:val="22"/>
        </w:rPr>
        <w:t>ing</w:t>
      </w:r>
      <w:r w:rsidRPr="000575D2">
        <w:rPr>
          <w:sz w:val="22"/>
          <w:szCs w:val="22"/>
        </w:rPr>
        <w:t xml:space="preserve"> </w:t>
      </w:r>
      <w:r w:rsidR="00165259" w:rsidRPr="000575D2">
        <w:rPr>
          <w:sz w:val="22"/>
          <w:szCs w:val="22"/>
        </w:rPr>
        <w:t xml:space="preserve">pull mechanisms ourselves, including </w:t>
      </w:r>
      <w:r w:rsidR="00DF63E1" w:rsidRPr="000575D2">
        <w:rPr>
          <w:sz w:val="22"/>
          <w:szCs w:val="22"/>
        </w:rPr>
        <w:t xml:space="preserve">managing </w:t>
      </w:r>
      <w:r w:rsidRPr="000575D2">
        <w:rPr>
          <w:sz w:val="22"/>
          <w:szCs w:val="22"/>
        </w:rPr>
        <w:t>prize competitions</w:t>
      </w:r>
      <w:r w:rsidR="0093349B" w:rsidRPr="000575D2">
        <w:rPr>
          <w:sz w:val="22"/>
          <w:szCs w:val="22"/>
        </w:rPr>
        <w:t xml:space="preserve"> at the national </w:t>
      </w:r>
      <w:r w:rsidR="00E56555" w:rsidRPr="000575D2">
        <w:rPr>
          <w:sz w:val="22"/>
          <w:szCs w:val="22"/>
        </w:rPr>
        <w:t>or even global level</w:t>
      </w:r>
      <w:r w:rsidR="00DF63E1" w:rsidRPr="000575D2">
        <w:rPr>
          <w:sz w:val="22"/>
          <w:szCs w:val="22"/>
        </w:rPr>
        <w:t>, or facilitating cooperative purchasing</w:t>
      </w:r>
      <w:r w:rsidR="00981B5A" w:rsidRPr="000575D2">
        <w:rPr>
          <w:sz w:val="22"/>
          <w:szCs w:val="22"/>
        </w:rPr>
        <w:t>.</w:t>
      </w:r>
    </w:p>
    <w:p w14:paraId="251FB73B" w14:textId="7CD7AA75" w:rsidR="006568C0" w:rsidRPr="00B82D4A" w:rsidRDefault="006568C0" w:rsidP="006568C0">
      <w:pPr>
        <w:pStyle w:val="ListParagraph"/>
        <w:numPr>
          <w:ilvl w:val="0"/>
          <w:numId w:val="11"/>
        </w:numPr>
        <w:rPr>
          <w:sz w:val="22"/>
          <w:szCs w:val="22"/>
        </w:rPr>
      </w:pPr>
      <w:r>
        <w:rPr>
          <w:sz w:val="22"/>
          <w:szCs w:val="22"/>
        </w:rPr>
        <w:t>Work</w:t>
      </w:r>
      <w:r w:rsidR="00E5335E">
        <w:rPr>
          <w:sz w:val="22"/>
          <w:szCs w:val="22"/>
        </w:rPr>
        <w:t>ing</w:t>
      </w:r>
      <w:r>
        <w:rPr>
          <w:sz w:val="22"/>
          <w:szCs w:val="22"/>
        </w:rPr>
        <w:t xml:space="preserve"> with </w:t>
      </w:r>
      <w:r w:rsidR="000575D2">
        <w:rPr>
          <w:sz w:val="22"/>
          <w:szCs w:val="22"/>
        </w:rPr>
        <w:t>large and small school districts across the country</w:t>
      </w:r>
      <w:r>
        <w:rPr>
          <w:sz w:val="22"/>
          <w:szCs w:val="22"/>
        </w:rPr>
        <w:t xml:space="preserve"> to build capacity to design and </w:t>
      </w:r>
      <w:r w:rsidRPr="00423195">
        <w:rPr>
          <w:sz w:val="22"/>
          <w:szCs w:val="22"/>
        </w:rPr>
        <w:t>manage prize competitions. For smaller districts, this may mean collaborating with one another to be sufficiently attractive to potential developers.</w:t>
      </w:r>
    </w:p>
    <w:p w14:paraId="4B96D731" w14:textId="3030478E" w:rsidR="0057548F" w:rsidRPr="00707625" w:rsidRDefault="004D2022" w:rsidP="0057548F">
      <w:pPr>
        <w:pStyle w:val="ListParagraph"/>
        <w:numPr>
          <w:ilvl w:val="0"/>
          <w:numId w:val="11"/>
        </w:numPr>
        <w:rPr>
          <w:sz w:val="22"/>
          <w:szCs w:val="22"/>
        </w:rPr>
      </w:pPr>
      <w:r w:rsidRPr="00707625">
        <w:rPr>
          <w:sz w:val="22"/>
          <w:szCs w:val="22"/>
        </w:rPr>
        <w:t>Structur</w:t>
      </w:r>
      <w:r w:rsidR="00262900" w:rsidRPr="00707625">
        <w:rPr>
          <w:sz w:val="22"/>
          <w:szCs w:val="22"/>
        </w:rPr>
        <w:t>ing evaluation and</w:t>
      </w:r>
      <w:r w:rsidRPr="00707625">
        <w:rPr>
          <w:sz w:val="22"/>
          <w:szCs w:val="22"/>
        </w:rPr>
        <w:t xml:space="preserve"> monitoring programs for </w:t>
      </w:r>
      <w:r w:rsidR="00882BBF" w:rsidRPr="00707625">
        <w:rPr>
          <w:sz w:val="22"/>
          <w:szCs w:val="22"/>
        </w:rPr>
        <w:t xml:space="preserve">the management of </w:t>
      </w:r>
      <w:r w:rsidR="00165259" w:rsidRPr="00707625">
        <w:rPr>
          <w:sz w:val="22"/>
          <w:szCs w:val="22"/>
        </w:rPr>
        <w:t xml:space="preserve">pull mechanisms, including </w:t>
      </w:r>
      <w:r w:rsidRPr="00707625">
        <w:rPr>
          <w:sz w:val="22"/>
          <w:szCs w:val="22"/>
        </w:rPr>
        <w:t>pay-for-success</w:t>
      </w:r>
      <w:r w:rsidR="00165259" w:rsidRPr="00707625">
        <w:rPr>
          <w:sz w:val="22"/>
          <w:szCs w:val="22"/>
        </w:rPr>
        <w:t xml:space="preserve"> programs</w:t>
      </w:r>
      <w:r w:rsidR="00262900" w:rsidRPr="00707625">
        <w:rPr>
          <w:sz w:val="22"/>
          <w:szCs w:val="22"/>
        </w:rPr>
        <w:t>.</w:t>
      </w:r>
    </w:p>
    <w:p w14:paraId="1CD51B6F" w14:textId="6434513F" w:rsidR="00165259" w:rsidRPr="00707625" w:rsidRDefault="00165259" w:rsidP="0057548F">
      <w:pPr>
        <w:pStyle w:val="ListParagraph"/>
        <w:numPr>
          <w:ilvl w:val="0"/>
          <w:numId w:val="11"/>
        </w:numPr>
        <w:rPr>
          <w:sz w:val="22"/>
          <w:szCs w:val="22"/>
        </w:rPr>
      </w:pPr>
      <w:r w:rsidRPr="00707625">
        <w:rPr>
          <w:sz w:val="22"/>
          <w:szCs w:val="22"/>
        </w:rPr>
        <w:t xml:space="preserve">Identifying and promoting best practices in the use of pull mechanisms through our national network. </w:t>
      </w:r>
    </w:p>
    <w:p w14:paraId="60069DE8" w14:textId="77777777" w:rsidR="005F4D8C" w:rsidRDefault="005F4D8C" w:rsidP="00E07ACF">
      <w:pPr>
        <w:rPr>
          <w:sz w:val="22"/>
          <w:szCs w:val="22"/>
        </w:rPr>
      </w:pPr>
    </w:p>
    <w:p w14:paraId="3A528276" w14:textId="3E44123F" w:rsidR="00F27E2C" w:rsidRPr="00F27E2C" w:rsidRDefault="00F27E2C" w:rsidP="00E07ACF">
      <w:pPr>
        <w:rPr>
          <w:rFonts w:eastAsiaTheme="majorEastAsia" w:cstheme="majorBidi"/>
          <w:b/>
          <w:bCs/>
          <w:color w:val="4F81BD" w:themeColor="accent1"/>
          <w:sz w:val="22"/>
          <w:szCs w:val="22"/>
        </w:rPr>
      </w:pPr>
      <w:r>
        <w:rPr>
          <w:rFonts w:eastAsiaTheme="majorEastAsia" w:cstheme="majorBidi"/>
          <w:b/>
          <w:bCs/>
          <w:color w:val="4F81BD" w:themeColor="accent1"/>
          <w:sz w:val="22"/>
          <w:szCs w:val="22"/>
        </w:rPr>
        <w:t xml:space="preserve">Push Mechanisms for </w:t>
      </w:r>
      <w:r w:rsidRPr="00F27E2C">
        <w:rPr>
          <w:rFonts w:eastAsiaTheme="majorEastAsia" w:cstheme="majorBidi"/>
          <w:b/>
          <w:bCs/>
          <w:color w:val="4F81BD" w:themeColor="accent1"/>
          <w:sz w:val="22"/>
          <w:szCs w:val="22"/>
        </w:rPr>
        <w:t>Smart Supply</w:t>
      </w:r>
    </w:p>
    <w:p w14:paraId="0A63AC88" w14:textId="77777777" w:rsidR="00F27E2C" w:rsidRDefault="00F27E2C" w:rsidP="00E07ACF">
      <w:pPr>
        <w:rPr>
          <w:sz w:val="22"/>
          <w:szCs w:val="22"/>
        </w:rPr>
      </w:pPr>
    </w:p>
    <w:p w14:paraId="3121634F" w14:textId="3B70D2B4" w:rsidR="00C50607" w:rsidRDefault="00A82B47" w:rsidP="00E07ACF">
      <w:pPr>
        <w:rPr>
          <w:sz w:val="22"/>
          <w:szCs w:val="22"/>
        </w:rPr>
      </w:pPr>
      <w:r>
        <w:rPr>
          <w:sz w:val="22"/>
          <w:szCs w:val="22"/>
        </w:rPr>
        <w:t xml:space="preserve">We </w:t>
      </w:r>
      <w:r w:rsidR="00C50607">
        <w:rPr>
          <w:sz w:val="22"/>
          <w:szCs w:val="22"/>
        </w:rPr>
        <w:t>can’t talk about smart demand without also talking about smart supply. Investors, entrepreneurs, and developers need access to basic research on learning, clear understanding of the instructional needs of educators, and credible product evaluation methodologies to ensure the products they develop are as likely as possible to solve critical challenges in learning and i</w:t>
      </w:r>
      <w:r w:rsidR="00B86092">
        <w:rPr>
          <w:sz w:val="22"/>
          <w:szCs w:val="22"/>
        </w:rPr>
        <w:t xml:space="preserve">nstruction. </w:t>
      </w:r>
      <w:r w:rsidR="006D2CB4">
        <w:rPr>
          <w:sz w:val="22"/>
          <w:szCs w:val="22"/>
        </w:rPr>
        <w:t xml:space="preserve">That means </w:t>
      </w:r>
      <w:r w:rsidR="00B86092">
        <w:rPr>
          <w:sz w:val="22"/>
          <w:szCs w:val="22"/>
        </w:rPr>
        <w:t>push mechanisms</w:t>
      </w:r>
      <w:r w:rsidR="00C50607">
        <w:rPr>
          <w:sz w:val="22"/>
          <w:szCs w:val="22"/>
        </w:rPr>
        <w:t xml:space="preserve"> are also important, and Digital Promise has a role to play there</w:t>
      </w:r>
      <w:r w:rsidR="006D2CB4">
        <w:rPr>
          <w:sz w:val="22"/>
          <w:szCs w:val="22"/>
        </w:rPr>
        <w:t>,</w:t>
      </w:r>
      <w:r w:rsidR="00C50607">
        <w:rPr>
          <w:sz w:val="22"/>
          <w:szCs w:val="22"/>
        </w:rPr>
        <w:t xml:space="preserve"> as well. </w:t>
      </w:r>
    </w:p>
    <w:p w14:paraId="3430C32D" w14:textId="77777777" w:rsidR="00C50607" w:rsidRDefault="00C50607" w:rsidP="00E07ACF">
      <w:pPr>
        <w:rPr>
          <w:sz w:val="22"/>
          <w:szCs w:val="22"/>
        </w:rPr>
      </w:pPr>
    </w:p>
    <w:p w14:paraId="401A3371" w14:textId="3BDCB346" w:rsidR="00A44CC4" w:rsidRDefault="00C50607" w:rsidP="00C50607">
      <w:pPr>
        <w:rPr>
          <w:sz w:val="22"/>
          <w:szCs w:val="22"/>
        </w:rPr>
      </w:pPr>
      <w:r>
        <w:rPr>
          <w:sz w:val="22"/>
          <w:szCs w:val="22"/>
        </w:rPr>
        <w:t>This year, we will e</w:t>
      </w:r>
      <w:r w:rsidR="00A44CC4" w:rsidRPr="00707625">
        <w:rPr>
          <w:sz w:val="22"/>
          <w:szCs w:val="22"/>
        </w:rPr>
        <w:t>stablish</w:t>
      </w:r>
      <w:r w:rsidR="007C2E4C">
        <w:rPr>
          <w:sz w:val="22"/>
          <w:szCs w:val="22"/>
        </w:rPr>
        <w:t xml:space="preserve"> and coordinate a smart supply</w:t>
      </w:r>
      <w:r w:rsidR="00A44CC4" w:rsidRPr="00707625">
        <w:rPr>
          <w:sz w:val="22"/>
          <w:szCs w:val="22"/>
        </w:rPr>
        <w:t xml:space="preserve"> network, in partnership with</w:t>
      </w:r>
      <w:r w:rsidR="007D37FB">
        <w:rPr>
          <w:sz w:val="22"/>
          <w:szCs w:val="22"/>
        </w:rPr>
        <w:t xml:space="preserve"> </w:t>
      </w:r>
      <w:r w:rsidR="00A255F1">
        <w:rPr>
          <w:sz w:val="22"/>
          <w:szCs w:val="22"/>
        </w:rPr>
        <w:t xml:space="preserve">industry associations, </w:t>
      </w:r>
      <w:r w:rsidR="007C2E4C">
        <w:rPr>
          <w:sz w:val="22"/>
          <w:szCs w:val="22"/>
        </w:rPr>
        <w:t>regional startup hubs,</w:t>
      </w:r>
      <w:r w:rsidR="007D37FB">
        <w:rPr>
          <w:sz w:val="22"/>
          <w:szCs w:val="22"/>
        </w:rPr>
        <w:t xml:space="preserve"> and others</w:t>
      </w:r>
      <w:r w:rsidR="00A44CC4" w:rsidRPr="00707625">
        <w:rPr>
          <w:sz w:val="22"/>
          <w:szCs w:val="22"/>
        </w:rPr>
        <w:t xml:space="preserve">, to develop and disseminate best practices for </w:t>
      </w:r>
      <w:r w:rsidR="00E81B11">
        <w:rPr>
          <w:sz w:val="22"/>
          <w:szCs w:val="22"/>
        </w:rPr>
        <w:t>applying</w:t>
      </w:r>
      <w:r w:rsidR="00E81B11" w:rsidRPr="00707625">
        <w:rPr>
          <w:sz w:val="22"/>
          <w:szCs w:val="22"/>
        </w:rPr>
        <w:t xml:space="preserve"> </w:t>
      </w:r>
      <w:r w:rsidR="00A44CC4" w:rsidRPr="00707625">
        <w:rPr>
          <w:sz w:val="22"/>
          <w:szCs w:val="22"/>
        </w:rPr>
        <w:t xml:space="preserve">learning </w:t>
      </w:r>
      <w:r w:rsidR="00E81B11">
        <w:rPr>
          <w:sz w:val="22"/>
          <w:szCs w:val="22"/>
        </w:rPr>
        <w:t xml:space="preserve">science </w:t>
      </w:r>
      <w:r w:rsidR="00A44CC4" w:rsidRPr="00707625">
        <w:rPr>
          <w:sz w:val="22"/>
          <w:szCs w:val="22"/>
        </w:rPr>
        <w:t>research and information about educators’ instructional needs in the design of their products.</w:t>
      </w:r>
      <w:r w:rsidR="00E81B11">
        <w:rPr>
          <w:sz w:val="22"/>
          <w:szCs w:val="22"/>
        </w:rPr>
        <w:t xml:space="preserve"> Additionally, through our Research@Work initiative, we will spotlight developers utilizing learning science findings and research methods to develop, evaluate</w:t>
      </w:r>
      <w:r w:rsidR="006D2CB4">
        <w:rPr>
          <w:sz w:val="22"/>
          <w:szCs w:val="22"/>
        </w:rPr>
        <w:t>,</w:t>
      </w:r>
      <w:r w:rsidR="00E81B11">
        <w:rPr>
          <w:sz w:val="22"/>
          <w:szCs w:val="22"/>
        </w:rPr>
        <w:t xml:space="preserve"> and improve their products.</w:t>
      </w:r>
    </w:p>
    <w:p w14:paraId="0153DBD3" w14:textId="77777777" w:rsidR="00184D84" w:rsidRDefault="00184D84" w:rsidP="00C50607">
      <w:pPr>
        <w:rPr>
          <w:sz w:val="22"/>
          <w:szCs w:val="22"/>
        </w:rPr>
      </w:pPr>
    </w:p>
    <w:p w14:paraId="5FA05FD0" w14:textId="36493C7B" w:rsidR="009A33AA" w:rsidRDefault="009A33AA" w:rsidP="009A33AA">
      <w:pPr>
        <w:rPr>
          <w:sz w:val="22"/>
          <w:szCs w:val="22"/>
        </w:rPr>
      </w:pPr>
      <w:r>
        <w:rPr>
          <w:sz w:val="22"/>
          <w:szCs w:val="22"/>
        </w:rPr>
        <w:t xml:space="preserve">Though known to most simply as Digital Promise, our name in the authorizing language from Congress is the </w:t>
      </w:r>
      <w:r w:rsidRPr="00FD65B9">
        <w:rPr>
          <w:sz w:val="22"/>
          <w:szCs w:val="22"/>
        </w:rPr>
        <w:t xml:space="preserve">National Center for Research in </w:t>
      </w:r>
      <w:bookmarkStart w:id="0" w:name="_GoBack"/>
      <w:r w:rsidRPr="00FD65B9">
        <w:rPr>
          <w:sz w:val="22"/>
          <w:szCs w:val="22"/>
        </w:rPr>
        <w:t>Advanced</w:t>
      </w:r>
      <w:bookmarkEnd w:id="0"/>
      <w:r w:rsidRPr="00FD65B9">
        <w:rPr>
          <w:sz w:val="22"/>
          <w:szCs w:val="22"/>
        </w:rPr>
        <w:t xml:space="preserve"> Information and Digital</w:t>
      </w:r>
      <w:r>
        <w:rPr>
          <w:sz w:val="22"/>
          <w:szCs w:val="22"/>
        </w:rPr>
        <w:t xml:space="preserve"> </w:t>
      </w:r>
      <w:r w:rsidRPr="00FD65B9">
        <w:rPr>
          <w:sz w:val="22"/>
          <w:szCs w:val="22"/>
        </w:rPr>
        <w:t>Technologies</w:t>
      </w:r>
      <w:r>
        <w:rPr>
          <w:sz w:val="22"/>
          <w:szCs w:val="22"/>
        </w:rPr>
        <w:t xml:space="preserve">. Research is at the center of </w:t>
      </w:r>
      <w:r w:rsidR="007C2E4C">
        <w:rPr>
          <w:sz w:val="22"/>
          <w:szCs w:val="22"/>
        </w:rPr>
        <w:t xml:space="preserve">our mission and is the common thread that connects </w:t>
      </w:r>
      <w:r>
        <w:rPr>
          <w:sz w:val="22"/>
          <w:szCs w:val="22"/>
        </w:rPr>
        <w:t>all of our work</w:t>
      </w:r>
      <w:r w:rsidR="007C2E4C">
        <w:rPr>
          <w:sz w:val="22"/>
          <w:szCs w:val="22"/>
        </w:rPr>
        <w:t xml:space="preserve">. </w:t>
      </w:r>
    </w:p>
    <w:p w14:paraId="1D16DAB7" w14:textId="77777777" w:rsidR="009A33AA" w:rsidRDefault="009A33AA" w:rsidP="00C50607">
      <w:pPr>
        <w:rPr>
          <w:sz w:val="22"/>
          <w:szCs w:val="22"/>
        </w:rPr>
      </w:pPr>
    </w:p>
    <w:p w14:paraId="66C0C1F4" w14:textId="6764094E" w:rsidR="00184D84" w:rsidRDefault="00B40069" w:rsidP="00C50607">
      <w:pPr>
        <w:rPr>
          <w:sz w:val="22"/>
          <w:szCs w:val="22"/>
        </w:rPr>
      </w:pPr>
      <w:r>
        <w:rPr>
          <w:sz w:val="22"/>
          <w:szCs w:val="22"/>
        </w:rPr>
        <w:t>We recently hired</w:t>
      </w:r>
      <w:r w:rsidR="00184D84">
        <w:rPr>
          <w:sz w:val="22"/>
          <w:szCs w:val="22"/>
        </w:rPr>
        <w:t xml:space="preserve"> a </w:t>
      </w:r>
      <w:r w:rsidR="00D234C4">
        <w:rPr>
          <w:sz w:val="22"/>
          <w:szCs w:val="22"/>
        </w:rPr>
        <w:t>D</w:t>
      </w:r>
      <w:r w:rsidR="00184D84">
        <w:rPr>
          <w:sz w:val="22"/>
          <w:szCs w:val="22"/>
        </w:rPr>
        <w:t xml:space="preserve">irector of </w:t>
      </w:r>
      <w:r w:rsidR="00D234C4">
        <w:rPr>
          <w:sz w:val="22"/>
          <w:szCs w:val="22"/>
        </w:rPr>
        <w:t>R</w:t>
      </w:r>
      <w:r w:rsidR="00184D84">
        <w:rPr>
          <w:sz w:val="22"/>
          <w:szCs w:val="22"/>
        </w:rPr>
        <w:t xml:space="preserve">esearch who, in collaboration with </w:t>
      </w:r>
      <w:r w:rsidR="00A82B47">
        <w:rPr>
          <w:sz w:val="22"/>
          <w:szCs w:val="22"/>
        </w:rPr>
        <w:t xml:space="preserve">our </w:t>
      </w:r>
      <w:r w:rsidR="00184D84">
        <w:rPr>
          <w:sz w:val="22"/>
          <w:szCs w:val="22"/>
        </w:rPr>
        <w:t xml:space="preserve">research partners at </w:t>
      </w:r>
      <w:r w:rsidR="005F4D8C">
        <w:rPr>
          <w:sz w:val="22"/>
          <w:szCs w:val="22"/>
        </w:rPr>
        <w:t xml:space="preserve">the </w:t>
      </w:r>
      <w:r w:rsidR="00184D84">
        <w:rPr>
          <w:sz w:val="22"/>
          <w:szCs w:val="22"/>
        </w:rPr>
        <w:t>U</w:t>
      </w:r>
      <w:r w:rsidR="006D2CB4">
        <w:rPr>
          <w:sz w:val="22"/>
          <w:szCs w:val="22"/>
        </w:rPr>
        <w:t xml:space="preserve">niversity of </w:t>
      </w:r>
      <w:r w:rsidR="00184D84">
        <w:rPr>
          <w:sz w:val="22"/>
          <w:szCs w:val="22"/>
        </w:rPr>
        <w:t>C</w:t>
      </w:r>
      <w:r w:rsidR="006D2CB4">
        <w:rPr>
          <w:sz w:val="22"/>
          <w:szCs w:val="22"/>
        </w:rPr>
        <w:t>alifornia,</w:t>
      </w:r>
      <w:r w:rsidR="00184D84">
        <w:rPr>
          <w:sz w:val="22"/>
          <w:szCs w:val="22"/>
        </w:rPr>
        <w:t xml:space="preserve"> Davis</w:t>
      </w:r>
      <w:r w:rsidR="005F4D8C">
        <w:rPr>
          <w:sz w:val="22"/>
          <w:szCs w:val="22"/>
        </w:rPr>
        <w:t xml:space="preserve"> School of Education</w:t>
      </w:r>
      <w:r w:rsidR="00184D84">
        <w:rPr>
          <w:sz w:val="22"/>
          <w:szCs w:val="22"/>
        </w:rPr>
        <w:t xml:space="preserve"> and Johns Hopkins University, among others, </w:t>
      </w:r>
      <w:r>
        <w:rPr>
          <w:sz w:val="22"/>
          <w:szCs w:val="22"/>
        </w:rPr>
        <w:t xml:space="preserve">is </w:t>
      </w:r>
      <w:r w:rsidR="00184D84">
        <w:rPr>
          <w:sz w:val="22"/>
          <w:szCs w:val="22"/>
        </w:rPr>
        <w:t>lead</w:t>
      </w:r>
      <w:r>
        <w:rPr>
          <w:sz w:val="22"/>
          <w:szCs w:val="22"/>
        </w:rPr>
        <w:t>ing</w:t>
      </w:r>
      <w:r w:rsidR="007C2E4C">
        <w:rPr>
          <w:sz w:val="22"/>
          <w:szCs w:val="22"/>
        </w:rPr>
        <w:t xml:space="preserve"> our work</w:t>
      </w:r>
      <w:r w:rsidR="00184D84">
        <w:rPr>
          <w:sz w:val="22"/>
          <w:szCs w:val="22"/>
        </w:rPr>
        <w:t xml:space="preserve"> on harnessing data, evaluation, and research findings to inform pr</w:t>
      </w:r>
      <w:r w:rsidR="007C2E4C">
        <w:rPr>
          <w:sz w:val="22"/>
          <w:szCs w:val="22"/>
        </w:rPr>
        <w:t xml:space="preserve">oduct design and development. These efforts will </w:t>
      </w:r>
      <w:r w:rsidR="00184D84">
        <w:rPr>
          <w:sz w:val="22"/>
          <w:szCs w:val="22"/>
        </w:rPr>
        <w:t xml:space="preserve">make it more likely that products in the marketplace address real needs, and do it well. </w:t>
      </w:r>
    </w:p>
    <w:p w14:paraId="7AD4D61D" w14:textId="77777777" w:rsidR="001A0FF0" w:rsidRDefault="001A0FF0" w:rsidP="00C50607">
      <w:pPr>
        <w:rPr>
          <w:sz w:val="22"/>
          <w:szCs w:val="22"/>
        </w:rPr>
      </w:pPr>
    </w:p>
    <w:p w14:paraId="5C92230A" w14:textId="5B8F85FB" w:rsidR="001A0FF0" w:rsidRDefault="009A33AA" w:rsidP="001A0FF0">
      <w:pPr>
        <w:rPr>
          <w:sz w:val="22"/>
          <w:szCs w:val="22"/>
        </w:rPr>
      </w:pPr>
      <w:r>
        <w:rPr>
          <w:sz w:val="22"/>
          <w:szCs w:val="22"/>
        </w:rPr>
        <w:t xml:space="preserve">While Digital Promise can help cultivate a community of data-driven, evidence-based product developers and entrepreneurs, there remains a critical need for increased research and development funding to:  </w:t>
      </w:r>
    </w:p>
    <w:p w14:paraId="6D5717D0" w14:textId="529CA700" w:rsidR="001A0FF0" w:rsidRPr="00C914B1" w:rsidRDefault="001A0FF0" w:rsidP="001A0FF0">
      <w:pPr>
        <w:pStyle w:val="ListParagraph"/>
        <w:numPr>
          <w:ilvl w:val="0"/>
          <w:numId w:val="14"/>
        </w:numPr>
        <w:rPr>
          <w:sz w:val="22"/>
          <w:szCs w:val="22"/>
        </w:rPr>
      </w:pPr>
      <w:r w:rsidRPr="00C914B1">
        <w:rPr>
          <w:sz w:val="22"/>
          <w:szCs w:val="22"/>
        </w:rPr>
        <w:t xml:space="preserve">Advance the </w:t>
      </w:r>
      <w:r w:rsidR="00B40069">
        <w:rPr>
          <w:sz w:val="22"/>
          <w:szCs w:val="22"/>
        </w:rPr>
        <w:t>use of learning science principles in the design of digital learning tools, curricula, and learning environments.</w:t>
      </w:r>
    </w:p>
    <w:p w14:paraId="413976F5" w14:textId="3B8984CD" w:rsidR="001A0FF0" w:rsidRPr="00C914B1" w:rsidRDefault="001A0FF0" w:rsidP="001A0FF0">
      <w:pPr>
        <w:pStyle w:val="ListParagraph"/>
        <w:numPr>
          <w:ilvl w:val="0"/>
          <w:numId w:val="14"/>
        </w:numPr>
        <w:rPr>
          <w:sz w:val="22"/>
          <w:szCs w:val="22"/>
        </w:rPr>
      </w:pPr>
      <w:r w:rsidRPr="00C914B1">
        <w:rPr>
          <w:sz w:val="22"/>
          <w:szCs w:val="22"/>
        </w:rPr>
        <w:t xml:space="preserve">Support the </w:t>
      </w:r>
      <w:r>
        <w:rPr>
          <w:sz w:val="22"/>
          <w:szCs w:val="22"/>
        </w:rPr>
        <w:t xml:space="preserve">directed </w:t>
      </w:r>
      <w:r w:rsidRPr="00C914B1">
        <w:rPr>
          <w:sz w:val="22"/>
          <w:szCs w:val="22"/>
        </w:rPr>
        <w:t xml:space="preserve">development of effective learning technologies focused on </w:t>
      </w:r>
      <w:r>
        <w:rPr>
          <w:sz w:val="22"/>
          <w:szCs w:val="22"/>
        </w:rPr>
        <w:t>specific grand challenges</w:t>
      </w:r>
      <w:r w:rsidR="00E5335E">
        <w:rPr>
          <w:sz w:val="22"/>
          <w:szCs w:val="22"/>
        </w:rPr>
        <w:t>.</w:t>
      </w:r>
    </w:p>
    <w:p w14:paraId="155D65B1" w14:textId="66B42C76" w:rsidR="006568C0" w:rsidRPr="007C2E4C" w:rsidRDefault="001A0FF0" w:rsidP="00C50607">
      <w:pPr>
        <w:pStyle w:val="ListParagraph"/>
        <w:numPr>
          <w:ilvl w:val="0"/>
          <w:numId w:val="14"/>
        </w:numPr>
        <w:rPr>
          <w:sz w:val="22"/>
          <w:szCs w:val="22"/>
        </w:rPr>
      </w:pPr>
      <w:r w:rsidRPr="00C914B1">
        <w:rPr>
          <w:sz w:val="22"/>
          <w:szCs w:val="22"/>
        </w:rPr>
        <w:t xml:space="preserve">Understand the impacts learning technologies can have on </w:t>
      </w:r>
      <w:r w:rsidR="006D2CB4" w:rsidRPr="00C914B1">
        <w:rPr>
          <w:sz w:val="22"/>
          <w:szCs w:val="22"/>
        </w:rPr>
        <w:t>noncognitive skills</w:t>
      </w:r>
      <w:r w:rsidR="006D2CB4">
        <w:rPr>
          <w:sz w:val="22"/>
          <w:szCs w:val="22"/>
        </w:rPr>
        <w:t xml:space="preserve">, as well as the </w:t>
      </w:r>
      <w:r w:rsidRPr="00C914B1">
        <w:rPr>
          <w:sz w:val="22"/>
          <w:szCs w:val="22"/>
        </w:rPr>
        <w:t xml:space="preserve">development of deeper learning competencies (collaboration, communication, problem-solving, etc.) applied across contexts. </w:t>
      </w:r>
    </w:p>
    <w:p w14:paraId="3E6E1E9D" w14:textId="6410B419" w:rsidR="00E07ACF" w:rsidRPr="00C914B1" w:rsidRDefault="00181A65" w:rsidP="00E07ACF">
      <w:pPr>
        <w:pStyle w:val="Heading2"/>
        <w:rPr>
          <w:rFonts w:asciiTheme="minorHAnsi" w:hAnsiTheme="minorHAnsi"/>
          <w:sz w:val="22"/>
          <w:szCs w:val="22"/>
        </w:rPr>
      </w:pPr>
      <w:r w:rsidRPr="00C914B1">
        <w:rPr>
          <w:rFonts w:asciiTheme="minorHAnsi" w:hAnsiTheme="minorHAnsi"/>
          <w:sz w:val="22"/>
          <w:szCs w:val="22"/>
        </w:rPr>
        <w:t>C</w:t>
      </w:r>
      <w:r w:rsidR="00E07ACF" w:rsidRPr="00C914B1">
        <w:rPr>
          <w:rFonts w:asciiTheme="minorHAnsi" w:hAnsiTheme="minorHAnsi"/>
          <w:sz w:val="22"/>
          <w:szCs w:val="22"/>
        </w:rPr>
        <w:t>han</w:t>
      </w:r>
      <w:r w:rsidR="006568C0">
        <w:rPr>
          <w:rFonts w:asciiTheme="minorHAnsi" w:hAnsiTheme="minorHAnsi"/>
          <w:sz w:val="22"/>
          <w:szCs w:val="22"/>
        </w:rPr>
        <w:t>g</w:t>
      </w:r>
      <w:r w:rsidR="00E07ACF" w:rsidRPr="00C914B1">
        <w:rPr>
          <w:rFonts w:asciiTheme="minorHAnsi" w:hAnsiTheme="minorHAnsi"/>
          <w:sz w:val="22"/>
          <w:szCs w:val="22"/>
        </w:rPr>
        <w:t xml:space="preserve">es in Public Policy </w:t>
      </w:r>
      <w:r w:rsidRPr="00C914B1">
        <w:rPr>
          <w:rFonts w:asciiTheme="minorHAnsi" w:hAnsiTheme="minorHAnsi"/>
          <w:sz w:val="22"/>
          <w:szCs w:val="22"/>
        </w:rPr>
        <w:t xml:space="preserve">to </w:t>
      </w:r>
      <w:r w:rsidR="00E07ACF" w:rsidRPr="00C914B1">
        <w:rPr>
          <w:rFonts w:asciiTheme="minorHAnsi" w:hAnsiTheme="minorHAnsi"/>
          <w:sz w:val="22"/>
          <w:szCs w:val="22"/>
        </w:rPr>
        <w:t xml:space="preserve">Support </w:t>
      </w:r>
      <w:r w:rsidRPr="00C914B1">
        <w:rPr>
          <w:rFonts w:asciiTheme="minorHAnsi" w:hAnsiTheme="minorHAnsi"/>
          <w:sz w:val="22"/>
          <w:szCs w:val="22"/>
        </w:rPr>
        <w:t>Experiments with Pull Mechanisms</w:t>
      </w:r>
    </w:p>
    <w:p w14:paraId="37F62F3B" w14:textId="77777777" w:rsidR="003E2C6D" w:rsidRDefault="003E2C6D" w:rsidP="00181A65">
      <w:pPr>
        <w:rPr>
          <w:sz w:val="22"/>
          <w:szCs w:val="22"/>
        </w:rPr>
      </w:pPr>
    </w:p>
    <w:p w14:paraId="5E1DF2A7" w14:textId="7F6DFAF6" w:rsidR="00530F5D" w:rsidRDefault="00181A65" w:rsidP="00181A65">
      <w:pPr>
        <w:rPr>
          <w:sz w:val="22"/>
          <w:szCs w:val="22"/>
        </w:rPr>
      </w:pPr>
      <w:r w:rsidRPr="00C914B1">
        <w:rPr>
          <w:sz w:val="22"/>
          <w:szCs w:val="22"/>
        </w:rPr>
        <w:t xml:space="preserve">States and </w:t>
      </w:r>
      <w:r w:rsidR="00530F5D">
        <w:rPr>
          <w:sz w:val="22"/>
          <w:szCs w:val="22"/>
        </w:rPr>
        <w:t xml:space="preserve">municipalities </w:t>
      </w:r>
      <w:r w:rsidR="00216625" w:rsidRPr="00C914B1">
        <w:rPr>
          <w:sz w:val="22"/>
          <w:szCs w:val="22"/>
        </w:rPr>
        <w:t xml:space="preserve">may have to enact changes to </w:t>
      </w:r>
      <w:r w:rsidR="00530F5D">
        <w:rPr>
          <w:sz w:val="22"/>
          <w:szCs w:val="22"/>
        </w:rPr>
        <w:t xml:space="preserve">permit school districts and educational institutions to </w:t>
      </w:r>
      <w:r w:rsidR="00216625" w:rsidRPr="00C914B1">
        <w:rPr>
          <w:sz w:val="22"/>
          <w:szCs w:val="22"/>
        </w:rPr>
        <w:t xml:space="preserve">enter into novel agreements like pay-for-success </w:t>
      </w:r>
      <w:r w:rsidRPr="00C914B1">
        <w:rPr>
          <w:sz w:val="22"/>
          <w:szCs w:val="22"/>
        </w:rPr>
        <w:t xml:space="preserve">bonds </w:t>
      </w:r>
      <w:r w:rsidR="00A961A3">
        <w:rPr>
          <w:sz w:val="22"/>
          <w:szCs w:val="22"/>
        </w:rPr>
        <w:t>and advance</w:t>
      </w:r>
      <w:r w:rsidRPr="00C914B1">
        <w:rPr>
          <w:sz w:val="22"/>
          <w:szCs w:val="22"/>
        </w:rPr>
        <w:t xml:space="preserve"> market</w:t>
      </w:r>
      <w:r w:rsidR="00530F5D">
        <w:rPr>
          <w:sz w:val="22"/>
          <w:szCs w:val="22"/>
        </w:rPr>
        <w:t xml:space="preserve"> commitments, and even to pursue cooperative purchasing arrangements.</w:t>
      </w:r>
      <w:r w:rsidR="001435B2">
        <w:rPr>
          <w:sz w:val="22"/>
          <w:szCs w:val="22"/>
        </w:rPr>
        <w:t xml:space="preserve"> Or they may simply need to issue guidance to school districts to clarify what is already permitted. For example, when asked about the possibility of school districts using prize competitions, pay-for-success contracts, or social impact bonds to acquire learning technologies, one state educational technology director told us</w:t>
      </w:r>
      <w:r w:rsidR="006D2CB4">
        <w:rPr>
          <w:sz w:val="22"/>
          <w:szCs w:val="22"/>
        </w:rPr>
        <w:t>,</w:t>
      </w:r>
      <w:r w:rsidR="001435B2">
        <w:rPr>
          <w:sz w:val="22"/>
          <w:szCs w:val="22"/>
        </w:rPr>
        <w:t xml:space="preserve"> “I know of no rules, policies, or statutes that would prevent a school from doing things in innovative ways.”   </w:t>
      </w:r>
      <w:r w:rsidR="00530F5D">
        <w:rPr>
          <w:sz w:val="22"/>
          <w:szCs w:val="22"/>
        </w:rPr>
        <w:t xml:space="preserve"> </w:t>
      </w:r>
    </w:p>
    <w:p w14:paraId="42036044" w14:textId="77777777" w:rsidR="003E2C6D" w:rsidRDefault="003E2C6D" w:rsidP="00181A65">
      <w:pPr>
        <w:rPr>
          <w:sz w:val="22"/>
          <w:szCs w:val="22"/>
        </w:rPr>
      </w:pPr>
    </w:p>
    <w:p w14:paraId="4C3E6C26" w14:textId="63075598" w:rsidR="00F7778E" w:rsidRDefault="003E2C6D" w:rsidP="00E07ACF">
      <w:pPr>
        <w:rPr>
          <w:sz w:val="22"/>
          <w:szCs w:val="22"/>
        </w:rPr>
      </w:pPr>
      <w:r>
        <w:rPr>
          <w:sz w:val="22"/>
          <w:szCs w:val="22"/>
        </w:rPr>
        <w:t>St</w:t>
      </w:r>
      <w:r w:rsidR="00A255F1">
        <w:rPr>
          <w:sz w:val="22"/>
          <w:szCs w:val="22"/>
        </w:rPr>
        <w:t>ates and municipalities may</w:t>
      </w:r>
      <w:r>
        <w:rPr>
          <w:sz w:val="22"/>
          <w:szCs w:val="22"/>
        </w:rPr>
        <w:t xml:space="preserve"> consider taking a gradual policy development approach by testing pull mechanisms in a contained setting before rolling</w:t>
      </w:r>
      <w:r w:rsidR="00450EB4">
        <w:rPr>
          <w:sz w:val="22"/>
          <w:szCs w:val="22"/>
        </w:rPr>
        <w:t xml:space="preserve"> them</w:t>
      </w:r>
      <w:r>
        <w:rPr>
          <w:sz w:val="22"/>
          <w:szCs w:val="22"/>
        </w:rPr>
        <w:t xml:space="preserve"> out to the entire jurisdiction. For example, the iZone</w:t>
      </w:r>
      <w:r w:rsidR="00440C09">
        <w:rPr>
          <w:sz w:val="22"/>
          <w:szCs w:val="22"/>
        </w:rPr>
        <w:t>, part of the</w:t>
      </w:r>
      <w:r>
        <w:rPr>
          <w:sz w:val="22"/>
          <w:szCs w:val="22"/>
        </w:rPr>
        <w:t xml:space="preserve"> New York City </w:t>
      </w:r>
      <w:r w:rsidR="00440C09">
        <w:rPr>
          <w:sz w:val="22"/>
          <w:szCs w:val="22"/>
        </w:rPr>
        <w:t xml:space="preserve">Department of Education – a member of the Digital Promise League of Innovative Schools – serves as a test bed </w:t>
      </w:r>
      <w:r w:rsidR="006D2CB4">
        <w:rPr>
          <w:sz w:val="22"/>
          <w:szCs w:val="22"/>
        </w:rPr>
        <w:t xml:space="preserve">of 300 schools within the district’s </w:t>
      </w:r>
      <w:r w:rsidR="00440C09">
        <w:rPr>
          <w:sz w:val="22"/>
          <w:szCs w:val="22"/>
        </w:rPr>
        <w:t>nearly 1</w:t>
      </w:r>
      <w:r w:rsidR="00450EB4">
        <w:rPr>
          <w:sz w:val="22"/>
          <w:szCs w:val="22"/>
        </w:rPr>
        <w:t>,</w:t>
      </w:r>
      <w:r w:rsidR="00440C09">
        <w:rPr>
          <w:sz w:val="22"/>
          <w:szCs w:val="22"/>
        </w:rPr>
        <w:t>800 public schools. The</w:t>
      </w:r>
      <w:r w:rsidR="00450EB4">
        <w:rPr>
          <w:sz w:val="22"/>
          <w:szCs w:val="22"/>
        </w:rPr>
        <w:t xml:space="preserve"> iZone is</w:t>
      </w:r>
      <w:r w:rsidR="00440C09">
        <w:rPr>
          <w:sz w:val="22"/>
          <w:szCs w:val="22"/>
        </w:rPr>
        <w:t xml:space="preserve"> innovating instructional approaches</w:t>
      </w:r>
      <w:r w:rsidR="00450EB4">
        <w:rPr>
          <w:sz w:val="22"/>
          <w:szCs w:val="22"/>
        </w:rPr>
        <w:t>,</w:t>
      </w:r>
      <w:r w:rsidR="00440C09">
        <w:rPr>
          <w:sz w:val="22"/>
          <w:szCs w:val="22"/>
        </w:rPr>
        <w:t xml:space="preserve"> as well as </w:t>
      </w:r>
      <w:r w:rsidR="00A81D56">
        <w:rPr>
          <w:sz w:val="22"/>
          <w:szCs w:val="22"/>
        </w:rPr>
        <w:t xml:space="preserve">rethinking </w:t>
      </w:r>
      <w:r w:rsidR="00440C09">
        <w:rPr>
          <w:sz w:val="22"/>
          <w:szCs w:val="22"/>
        </w:rPr>
        <w:t xml:space="preserve">the ways </w:t>
      </w:r>
      <w:r w:rsidR="00450EB4">
        <w:rPr>
          <w:sz w:val="22"/>
          <w:szCs w:val="22"/>
        </w:rPr>
        <w:t>in which the</w:t>
      </w:r>
      <w:r w:rsidR="00440C09">
        <w:rPr>
          <w:sz w:val="22"/>
          <w:szCs w:val="22"/>
        </w:rPr>
        <w:t xml:space="preserve"> district interacts with the educational technology marketplace</w:t>
      </w:r>
      <w:r w:rsidR="00450EB4">
        <w:rPr>
          <w:sz w:val="22"/>
          <w:szCs w:val="22"/>
        </w:rPr>
        <w:t xml:space="preserve"> (i.e., includi</w:t>
      </w:r>
      <w:r w:rsidR="00440C09">
        <w:rPr>
          <w:sz w:val="22"/>
          <w:szCs w:val="22"/>
        </w:rPr>
        <w:t>ng awarding over $100,000 in prize money as part of a “gap app challenge”</w:t>
      </w:r>
      <w:r w:rsidR="00450EB4">
        <w:rPr>
          <w:sz w:val="22"/>
          <w:szCs w:val="22"/>
        </w:rPr>
        <w:t>).</w:t>
      </w:r>
      <w:r w:rsidR="00440C09">
        <w:rPr>
          <w:sz w:val="22"/>
          <w:szCs w:val="22"/>
        </w:rPr>
        <w:t xml:space="preserve"> Other </w:t>
      </w:r>
      <w:r w:rsidR="00450EB4">
        <w:rPr>
          <w:sz w:val="22"/>
          <w:szCs w:val="22"/>
        </w:rPr>
        <w:t>districts and education institutions</w:t>
      </w:r>
      <w:r w:rsidR="00440C09">
        <w:rPr>
          <w:sz w:val="22"/>
          <w:szCs w:val="22"/>
        </w:rPr>
        <w:t xml:space="preserve"> could create an innovati</w:t>
      </w:r>
      <w:r w:rsidR="00503FD7">
        <w:rPr>
          <w:sz w:val="22"/>
          <w:szCs w:val="22"/>
        </w:rPr>
        <w:t>on incubator like the iZone as a</w:t>
      </w:r>
      <w:r w:rsidR="00440C09">
        <w:rPr>
          <w:sz w:val="22"/>
          <w:szCs w:val="22"/>
        </w:rPr>
        <w:t xml:space="preserve"> venue for </w:t>
      </w:r>
      <w:r w:rsidR="00503FD7">
        <w:rPr>
          <w:sz w:val="22"/>
          <w:szCs w:val="22"/>
        </w:rPr>
        <w:t>piloting</w:t>
      </w:r>
      <w:r w:rsidR="00440C09">
        <w:rPr>
          <w:sz w:val="22"/>
          <w:szCs w:val="22"/>
        </w:rPr>
        <w:t xml:space="preserve"> pull mechanisms before deciding whether and how to scale them more broadly.</w:t>
      </w:r>
    </w:p>
    <w:p w14:paraId="78D0B83C" w14:textId="7A38BF4B" w:rsidR="00DA2B31" w:rsidRPr="00DA2B31" w:rsidRDefault="00DA2B31" w:rsidP="00DA2B31">
      <w:pPr>
        <w:pStyle w:val="Heading2"/>
        <w:rPr>
          <w:rFonts w:asciiTheme="minorHAnsi" w:hAnsiTheme="minorHAnsi"/>
          <w:sz w:val="22"/>
          <w:szCs w:val="22"/>
        </w:rPr>
      </w:pPr>
      <w:r w:rsidRPr="00DA2B31">
        <w:rPr>
          <w:rFonts w:asciiTheme="minorHAnsi" w:hAnsiTheme="minorHAnsi"/>
          <w:sz w:val="22"/>
          <w:szCs w:val="22"/>
        </w:rPr>
        <w:t>Conclusion</w:t>
      </w:r>
    </w:p>
    <w:p w14:paraId="1177A479" w14:textId="77777777" w:rsidR="006568C0" w:rsidRDefault="006568C0" w:rsidP="00E07ACF">
      <w:pPr>
        <w:rPr>
          <w:sz w:val="22"/>
          <w:szCs w:val="22"/>
        </w:rPr>
      </w:pPr>
    </w:p>
    <w:p w14:paraId="6340311D" w14:textId="2E9B6320" w:rsidR="00DA2B31" w:rsidRDefault="006568C0" w:rsidP="006568C0">
      <w:pPr>
        <w:rPr>
          <w:sz w:val="22"/>
          <w:szCs w:val="22"/>
        </w:rPr>
      </w:pPr>
      <w:r>
        <w:rPr>
          <w:sz w:val="22"/>
          <w:szCs w:val="22"/>
        </w:rPr>
        <w:t xml:space="preserve">At Digital Promise, we </w:t>
      </w:r>
      <w:r w:rsidR="00DA2B31">
        <w:rPr>
          <w:sz w:val="22"/>
          <w:szCs w:val="22"/>
        </w:rPr>
        <w:t xml:space="preserve">bring together educators, researchers, and educational technology entrepreneurs and developers to spur innovation in education that will benefit all learners. It is clear to us that through smarter demand and smarter supply in the educational technology marketplace – including </w:t>
      </w:r>
      <w:r w:rsidR="00A255F1">
        <w:rPr>
          <w:sz w:val="22"/>
          <w:szCs w:val="22"/>
        </w:rPr>
        <w:t xml:space="preserve">through </w:t>
      </w:r>
      <w:r w:rsidR="00901E7F">
        <w:rPr>
          <w:sz w:val="22"/>
          <w:szCs w:val="22"/>
        </w:rPr>
        <w:t>the adoption of pull mechanisms</w:t>
      </w:r>
      <w:r w:rsidR="00DA2B31">
        <w:rPr>
          <w:sz w:val="22"/>
          <w:szCs w:val="22"/>
        </w:rPr>
        <w:t xml:space="preserve"> – </w:t>
      </w:r>
      <w:r w:rsidR="00901E7F">
        <w:rPr>
          <w:sz w:val="22"/>
          <w:szCs w:val="22"/>
        </w:rPr>
        <w:t xml:space="preserve">teachers and learners will be more likely to have access to learning technologies that will help them achieve their goals.  </w:t>
      </w:r>
      <w:r w:rsidR="00DA2B31">
        <w:rPr>
          <w:sz w:val="22"/>
          <w:szCs w:val="22"/>
        </w:rPr>
        <w:t xml:space="preserve"> </w:t>
      </w:r>
    </w:p>
    <w:p w14:paraId="608A5E54" w14:textId="77777777" w:rsidR="00DA2B31" w:rsidRDefault="00DA2B31" w:rsidP="006568C0">
      <w:pPr>
        <w:rPr>
          <w:sz w:val="22"/>
          <w:szCs w:val="22"/>
        </w:rPr>
      </w:pPr>
    </w:p>
    <w:p w14:paraId="0838107E" w14:textId="45568143" w:rsidR="00265B78" w:rsidRDefault="00265B78" w:rsidP="00E07ACF">
      <w:pPr>
        <w:rPr>
          <w:sz w:val="22"/>
          <w:szCs w:val="22"/>
        </w:rPr>
      </w:pPr>
      <w:r>
        <w:rPr>
          <w:sz w:val="22"/>
          <w:szCs w:val="22"/>
        </w:rPr>
        <w:t xml:space="preserve">If you’re interested in discussing these ideas, contact </w:t>
      </w:r>
      <w:hyperlink r:id="rId14" w:history="1">
        <w:r w:rsidRPr="00086573">
          <w:rPr>
            <w:rStyle w:val="Hyperlink"/>
            <w:sz w:val="22"/>
            <w:szCs w:val="22"/>
          </w:rPr>
          <w:t>marketplace@digitalpromise.org</w:t>
        </w:r>
      </w:hyperlink>
      <w:r>
        <w:rPr>
          <w:sz w:val="22"/>
          <w:szCs w:val="22"/>
        </w:rPr>
        <w:t>.</w:t>
      </w:r>
    </w:p>
    <w:p w14:paraId="2C28327A" w14:textId="77777777" w:rsidR="00265B78" w:rsidRPr="00C914B1" w:rsidRDefault="00265B78" w:rsidP="00E07ACF">
      <w:pPr>
        <w:rPr>
          <w:sz w:val="22"/>
          <w:szCs w:val="22"/>
        </w:rPr>
      </w:pPr>
    </w:p>
    <w:sectPr w:rsidR="00265B78" w:rsidRPr="00C914B1" w:rsidSect="00402A4C">
      <w:footerReference w:type="even" r:id="rId15"/>
      <w:footerReference w:type="default" r:id="rId16"/>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55FB3" w14:textId="77777777" w:rsidR="00CD3952" w:rsidRDefault="00CD3952" w:rsidP="00F163AC">
      <w:r>
        <w:separator/>
      </w:r>
    </w:p>
  </w:endnote>
  <w:endnote w:type="continuationSeparator" w:id="0">
    <w:p w14:paraId="3E706584" w14:textId="77777777" w:rsidR="00CD3952" w:rsidRDefault="00CD3952" w:rsidP="00F1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B1127" w14:textId="77777777" w:rsidR="00CD3952" w:rsidRDefault="00CD3952" w:rsidP="00EB0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192D8" w14:textId="77777777" w:rsidR="00CD3952" w:rsidRDefault="00CD3952" w:rsidP="00EB0C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8124B" w14:textId="77777777" w:rsidR="00CD3952" w:rsidRDefault="00CD3952" w:rsidP="00EB0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61A3">
      <w:rPr>
        <w:rStyle w:val="PageNumber"/>
        <w:noProof/>
      </w:rPr>
      <w:t>1</w:t>
    </w:r>
    <w:r>
      <w:rPr>
        <w:rStyle w:val="PageNumber"/>
      </w:rPr>
      <w:fldChar w:fldCharType="end"/>
    </w:r>
  </w:p>
  <w:p w14:paraId="2141AEB5" w14:textId="77777777" w:rsidR="00CD3952" w:rsidRDefault="00CD3952" w:rsidP="00EB0C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233E9" w14:textId="77777777" w:rsidR="00CD3952" w:rsidRDefault="00CD3952" w:rsidP="00F163AC">
      <w:r>
        <w:separator/>
      </w:r>
    </w:p>
  </w:footnote>
  <w:footnote w:type="continuationSeparator" w:id="0">
    <w:p w14:paraId="08CD5024" w14:textId="77777777" w:rsidR="00CD3952" w:rsidRDefault="00CD3952" w:rsidP="00F163AC">
      <w:r>
        <w:continuationSeparator/>
      </w:r>
    </w:p>
  </w:footnote>
  <w:footnote w:id="1">
    <w:p w14:paraId="00851984" w14:textId="5AC1EFE2" w:rsidR="00CD3952" w:rsidRPr="00C87DBC" w:rsidRDefault="00CD3952" w:rsidP="00F21E99">
      <w:pPr>
        <w:rPr>
          <w:rFonts w:ascii="Cambria" w:eastAsia="Times New Roman" w:hAnsi="Cambria" w:cs="Times New Roman"/>
          <w:sz w:val="22"/>
          <w:szCs w:val="22"/>
        </w:rPr>
      </w:pPr>
      <w:r w:rsidRPr="00C87DBC">
        <w:rPr>
          <w:rStyle w:val="FootnoteReference"/>
          <w:rFonts w:ascii="Cambria" w:hAnsi="Cambria"/>
          <w:sz w:val="22"/>
          <w:szCs w:val="22"/>
        </w:rPr>
        <w:footnoteRef/>
      </w:r>
      <w:r w:rsidRPr="00C87DBC">
        <w:rPr>
          <w:rFonts w:ascii="Cambria" w:hAnsi="Cambria"/>
          <w:sz w:val="22"/>
          <w:szCs w:val="22"/>
        </w:rPr>
        <w:t xml:space="preserve"> </w:t>
      </w:r>
      <w:hyperlink r:id="rId1" w:history="1">
        <w:r w:rsidRPr="00C87DBC">
          <w:rPr>
            <w:rStyle w:val="Hyperlink"/>
            <w:rFonts w:ascii="Cambria" w:eastAsia="Times New Roman" w:hAnsi="Cambria" w:cs="Arial"/>
            <w:sz w:val="22"/>
            <w:szCs w:val="22"/>
            <w:shd w:val="clear" w:color="auto" w:fill="FFFFFF"/>
          </w:rPr>
          <w:t>https://www.siia.net/blog/index.php/tag/education-technology-market/</w:t>
        </w:r>
      </w:hyperlink>
    </w:p>
    <w:p w14:paraId="13B82253" w14:textId="79CF0A88" w:rsidR="00CD3952" w:rsidRPr="00C87DBC" w:rsidRDefault="00CD3952">
      <w:pPr>
        <w:pStyle w:val="FootnoteText"/>
        <w:rPr>
          <w:rFonts w:ascii="Cambria" w:hAnsi="Cambria"/>
          <w:sz w:val="22"/>
          <w:szCs w:val="22"/>
        </w:rPr>
      </w:pPr>
    </w:p>
  </w:footnote>
  <w:footnote w:id="2">
    <w:p w14:paraId="78590C12" w14:textId="77777777" w:rsidR="00CD3952" w:rsidRPr="003E16CD" w:rsidRDefault="00CD3952" w:rsidP="00E81B11">
      <w:pPr>
        <w:pStyle w:val="FootnoteText"/>
        <w:rPr>
          <w:rFonts w:ascii="Cambria" w:hAnsi="Cambria"/>
          <w:sz w:val="20"/>
          <w:szCs w:val="20"/>
        </w:rPr>
      </w:pPr>
      <w:r w:rsidRPr="003E16CD">
        <w:rPr>
          <w:rStyle w:val="FootnoteReference"/>
          <w:rFonts w:ascii="Cambria" w:hAnsi="Cambria"/>
          <w:sz w:val="20"/>
          <w:szCs w:val="20"/>
        </w:rPr>
        <w:footnoteRef/>
      </w:r>
      <w:r w:rsidRPr="003E16CD">
        <w:rPr>
          <w:rFonts w:ascii="Cambria" w:hAnsi="Cambria"/>
          <w:sz w:val="20"/>
          <w:szCs w:val="20"/>
        </w:rPr>
        <w:t xml:space="preserve"> </w:t>
      </w:r>
      <w:hyperlink r:id="rId2" w:history="1">
        <w:r w:rsidRPr="003E16CD">
          <w:rPr>
            <w:rStyle w:val="Hyperlink"/>
            <w:rFonts w:ascii="Cambria" w:hAnsi="Cambria"/>
            <w:sz w:val="20"/>
            <w:szCs w:val="20"/>
          </w:rPr>
          <w:t>http://skills.oecd.org/Survey_of_Adult_Skills_US.pdf</w:t>
        </w:r>
      </w:hyperlink>
    </w:p>
  </w:footnote>
  <w:footnote w:id="3">
    <w:p w14:paraId="0B310B86" w14:textId="77777777" w:rsidR="00CD3952" w:rsidRPr="003E16CD" w:rsidRDefault="00CD3952" w:rsidP="00E81B11">
      <w:pPr>
        <w:pStyle w:val="FootnoteText"/>
        <w:rPr>
          <w:rFonts w:ascii="Cambria" w:hAnsi="Cambria"/>
          <w:sz w:val="20"/>
          <w:szCs w:val="20"/>
        </w:rPr>
      </w:pPr>
      <w:r w:rsidRPr="003E16CD">
        <w:rPr>
          <w:rStyle w:val="FootnoteReference"/>
          <w:rFonts w:ascii="Cambria" w:hAnsi="Cambria"/>
          <w:sz w:val="20"/>
          <w:szCs w:val="20"/>
        </w:rPr>
        <w:footnoteRef/>
      </w:r>
      <w:r w:rsidRPr="003E16CD">
        <w:rPr>
          <w:rFonts w:ascii="Cambria" w:hAnsi="Cambria"/>
          <w:sz w:val="20"/>
          <w:szCs w:val="20"/>
        </w:rPr>
        <w:t xml:space="preserve"> Ibid.</w:t>
      </w:r>
    </w:p>
  </w:footnote>
  <w:footnote w:id="4">
    <w:p w14:paraId="7393C641" w14:textId="77777777" w:rsidR="00CD3952" w:rsidRPr="00C87DBC" w:rsidRDefault="00CD3952" w:rsidP="00E81B11">
      <w:pPr>
        <w:pStyle w:val="FootnoteText"/>
        <w:rPr>
          <w:rFonts w:ascii="Cambria" w:hAnsi="Cambria"/>
          <w:sz w:val="22"/>
          <w:szCs w:val="22"/>
        </w:rPr>
      </w:pPr>
      <w:r w:rsidRPr="003E16CD">
        <w:rPr>
          <w:rStyle w:val="FootnoteReference"/>
          <w:rFonts w:ascii="Cambria" w:hAnsi="Cambria"/>
          <w:sz w:val="20"/>
          <w:szCs w:val="20"/>
        </w:rPr>
        <w:footnoteRef/>
      </w:r>
      <w:r w:rsidRPr="003E16CD">
        <w:rPr>
          <w:rFonts w:ascii="Cambria" w:hAnsi="Cambria"/>
          <w:sz w:val="20"/>
          <w:szCs w:val="20"/>
        </w:rPr>
        <w:t xml:space="preserve"> Data from a variety of studies compiled by the </w:t>
      </w:r>
      <w:hyperlink r:id="rId3" w:history="1">
        <w:r w:rsidRPr="003E16CD">
          <w:rPr>
            <w:rStyle w:val="Hyperlink"/>
            <w:rFonts w:ascii="Cambria" w:hAnsi="Cambria"/>
            <w:sz w:val="20"/>
            <w:szCs w:val="20"/>
          </w:rPr>
          <w:t>Community College Research Center</w:t>
        </w:r>
      </w:hyperlink>
      <w:r w:rsidRPr="003E16CD">
        <w:rPr>
          <w:rFonts w:ascii="Cambria" w:hAnsi="Cambria"/>
          <w:sz w:val="20"/>
          <w:szCs w:val="20"/>
        </w:rPr>
        <w:t xml:space="preserve"> at Teachers College FAQ.</w:t>
      </w:r>
    </w:p>
  </w:footnote>
  <w:footnote w:id="5">
    <w:p w14:paraId="31A0423B" w14:textId="733484B4" w:rsidR="00CD3952" w:rsidRPr="00C87DBC" w:rsidRDefault="00CD3952">
      <w:pPr>
        <w:pStyle w:val="FootnoteText"/>
        <w:rPr>
          <w:rFonts w:ascii="Cambria" w:hAnsi="Cambria"/>
          <w:sz w:val="22"/>
          <w:szCs w:val="22"/>
        </w:rPr>
      </w:pPr>
      <w:r w:rsidRPr="00C87DBC">
        <w:rPr>
          <w:rStyle w:val="FootnoteReference"/>
          <w:rFonts w:ascii="Cambria" w:hAnsi="Cambria"/>
          <w:sz w:val="22"/>
          <w:szCs w:val="22"/>
        </w:rPr>
        <w:footnoteRef/>
      </w:r>
      <w:r w:rsidRPr="00C87DBC">
        <w:rPr>
          <w:rFonts w:ascii="Cambria" w:hAnsi="Cambria"/>
          <w:sz w:val="22"/>
          <w:szCs w:val="22"/>
        </w:rPr>
        <w:t xml:space="preserve"> </w:t>
      </w:r>
      <w:hyperlink r:id="rId4" w:history="1">
        <w:r w:rsidRPr="00C87DBC">
          <w:rPr>
            <w:rStyle w:val="Hyperlink"/>
            <w:rFonts w:ascii="Cambria" w:hAnsi="Cambria"/>
            <w:sz w:val="22"/>
            <w:szCs w:val="22"/>
          </w:rPr>
          <w:t>http://www.digitalpromise.org/ideo-digital-promise-release-evolving-ed-tech-procurement-in-school-districts/</w:t>
        </w:r>
      </w:hyperlink>
    </w:p>
  </w:footnote>
  <w:footnote w:id="6">
    <w:p w14:paraId="40D3EB6C" w14:textId="2AF6A35C" w:rsidR="00CD3952" w:rsidRPr="00C87DBC" w:rsidRDefault="00CD3952">
      <w:pPr>
        <w:pStyle w:val="FootnoteText"/>
        <w:rPr>
          <w:rFonts w:ascii="Cambria" w:hAnsi="Cambria"/>
          <w:sz w:val="22"/>
          <w:szCs w:val="22"/>
        </w:rPr>
      </w:pPr>
      <w:r w:rsidRPr="00C87DBC">
        <w:rPr>
          <w:rStyle w:val="FootnoteReference"/>
          <w:rFonts w:ascii="Cambria" w:hAnsi="Cambria"/>
          <w:sz w:val="22"/>
          <w:szCs w:val="22"/>
        </w:rPr>
        <w:footnoteRef/>
      </w:r>
      <w:r w:rsidRPr="00C87DBC">
        <w:rPr>
          <w:rFonts w:ascii="Cambria" w:hAnsi="Cambria"/>
          <w:sz w:val="22"/>
          <w:szCs w:val="22"/>
        </w:rPr>
        <w:t xml:space="preserve"> </w:t>
      </w:r>
      <w:hyperlink r:id="rId5" w:history="1">
        <w:r w:rsidRPr="00C87DBC">
          <w:rPr>
            <w:rStyle w:val="Hyperlink"/>
            <w:rFonts w:ascii="Cambria" w:hAnsi="Cambria"/>
            <w:sz w:val="22"/>
            <w:szCs w:val="22"/>
          </w:rPr>
          <w:t>http://www.digitalpromise.org/join-us-in-improving-ed-tech-purchasing-practice/</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243"/>
    <w:multiLevelType w:val="hybridMultilevel"/>
    <w:tmpl w:val="ACCEDB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65839"/>
    <w:multiLevelType w:val="hybridMultilevel"/>
    <w:tmpl w:val="8DB4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077B6"/>
    <w:multiLevelType w:val="hybridMultilevel"/>
    <w:tmpl w:val="B6C67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F7F45"/>
    <w:multiLevelType w:val="hybridMultilevel"/>
    <w:tmpl w:val="7E74C75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nsid w:val="10566214"/>
    <w:multiLevelType w:val="hybridMultilevel"/>
    <w:tmpl w:val="C860B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A807F1"/>
    <w:multiLevelType w:val="hybridMultilevel"/>
    <w:tmpl w:val="9BC0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C7FDD"/>
    <w:multiLevelType w:val="hybridMultilevel"/>
    <w:tmpl w:val="0F7A0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30254"/>
    <w:multiLevelType w:val="hybridMultilevel"/>
    <w:tmpl w:val="ACCEDB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15E14"/>
    <w:multiLevelType w:val="hybridMultilevel"/>
    <w:tmpl w:val="F23A4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D232C"/>
    <w:multiLevelType w:val="hybridMultilevel"/>
    <w:tmpl w:val="C4A0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12D52"/>
    <w:multiLevelType w:val="hybridMultilevel"/>
    <w:tmpl w:val="9F340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D51EF8"/>
    <w:multiLevelType w:val="hybridMultilevel"/>
    <w:tmpl w:val="7F569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D7015"/>
    <w:multiLevelType w:val="hybridMultilevel"/>
    <w:tmpl w:val="46267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855338"/>
    <w:multiLevelType w:val="hybridMultilevel"/>
    <w:tmpl w:val="C4F478D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nsid w:val="354F6785"/>
    <w:multiLevelType w:val="hybridMultilevel"/>
    <w:tmpl w:val="6608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93C3F"/>
    <w:multiLevelType w:val="hybridMultilevel"/>
    <w:tmpl w:val="DD48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C645E"/>
    <w:multiLevelType w:val="hybridMultilevel"/>
    <w:tmpl w:val="80CA5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CB4B43"/>
    <w:multiLevelType w:val="hybridMultilevel"/>
    <w:tmpl w:val="0B5410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EB245C"/>
    <w:multiLevelType w:val="hybridMultilevel"/>
    <w:tmpl w:val="3F82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7D76DF"/>
    <w:multiLevelType w:val="hybridMultilevel"/>
    <w:tmpl w:val="13B0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6C253A"/>
    <w:multiLevelType w:val="hybridMultilevel"/>
    <w:tmpl w:val="95508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441950"/>
    <w:multiLevelType w:val="hybridMultilevel"/>
    <w:tmpl w:val="3F448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65563C"/>
    <w:multiLevelType w:val="hybridMultilevel"/>
    <w:tmpl w:val="F318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B418D"/>
    <w:multiLevelType w:val="hybridMultilevel"/>
    <w:tmpl w:val="E38E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E25151"/>
    <w:multiLevelType w:val="hybridMultilevel"/>
    <w:tmpl w:val="642083CA"/>
    <w:lvl w:ilvl="0" w:tplc="6D0024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546F14"/>
    <w:multiLevelType w:val="hybridMultilevel"/>
    <w:tmpl w:val="4E40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8C4BAE"/>
    <w:multiLevelType w:val="hybridMultilevel"/>
    <w:tmpl w:val="3E0EF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99234C"/>
    <w:multiLevelType w:val="hybridMultilevel"/>
    <w:tmpl w:val="A740B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4C90E9A"/>
    <w:multiLevelType w:val="hybridMultilevel"/>
    <w:tmpl w:val="BED8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8C4CB8"/>
    <w:multiLevelType w:val="hybridMultilevel"/>
    <w:tmpl w:val="0A10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01062E"/>
    <w:multiLevelType w:val="hybridMultilevel"/>
    <w:tmpl w:val="83B434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F0623C"/>
    <w:multiLevelType w:val="hybridMultilevel"/>
    <w:tmpl w:val="CDD0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0"/>
  </w:num>
  <w:num w:numId="4">
    <w:abstractNumId w:val="18"/>
  </w:num>
  <w:num w:numId="5">
    <w:abstractNumId w:val="4"/>
  </w:num>
  <w:num w:numId="6">
    <w:abstractNumId w:val="29"/>
  </w:num>
  <w:num w:numId="7">
    <w:abstractNumId w:val="26"/>
  </w:num>
  <w:num w:numId="8">
    <w:abstractNumId w:val="16"/>
  </w:num>
  <w:num w:numId="9">
    <w:abstractNumId w:val="9"/>
  </w:num>
  <w:num w:numId="10">
    <w:abstractNumId w:val="8"/>
  </w:num>
  <w:num w:numId="11">
    <w:abstractNumId w:val="14"/>
  </w:num>
  <w:num w:numId="12">
    <w:abstractNumId w:val="19"/>
  </w:num>
  <w:num w:numId="13">
    <w:abstractNumId w:val="23"/>
  </w:num>
  <w:num w:numId="14">
    <w:abstractNumId w:val="13"/>
  </w:num>
  <w:num w:numId="15">
    <w:abstractNumId w:val="31"/>
  </w:num>
  <w:num w:numId="16">
    <w:abstractNumId w:val="12"/>
  </w:num>
  <w:num w:numId="17">
    <w:abstractNumId w:val="21"/>
  </w:num>
  <w:num w:numId="18">
    <w:abstractNumId w:val="3"/>
  </w:num>
  <w:num w:numId="19">
    <w:abstractNumId w:val="28"/>
  </w:num>
  <w:num w:numId="20">
    <w:abstractNumId w:val="11"/>
  </w:num>
  <w:num w:numId="21">
    <w:abstractNumId w:val="5"/>
  </w:num>
  <w:num w:numId="22">
    <w:abstractNumId w:val="20"/>
  </w:num>
  <w:num w:numId="23">
    <w:abstractNumId w:val="15"/>
  </w:num>
  <w:num w:numId="24">
    <w:abstractNumId w:val="0"/>
  </w:num>
  <w:num w:numId="25">
    <w:abstractNumId w:val="22"/>
  </w:num>
  <w:num w:numId="26">
    <w:abstractNumId w:val="24"/>
  </w:num>
  <w:num w:numId="27">
    <w:abstractNumId w:val="7"/>
  </w:num>
  <w:num w:numId="28">
    <w:abstractNumId w:val="6"/>
  </w:num>
  <w:num w:numId="29">
    <w:abstractNumId w:val="1"/>
  </w:num>
  <w:num w:numId="30">
    <w:abstractNumId w:val="25"/>
  </w:num>
  <w:num w:numId="31">
    <w:abstractNumId w:val="3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CF"/>
    <w:rsid w:val="0000283E"/>
    <w:rsid w:val="00003612"/>
    <w:rsid w:val="00014BB0"/>
    <w:rsid w:val="0002652D"/>
    <w:rsid w:val="0004516D"/>
    <w:rsid w:val="00053AF7"/>
    <w:rsid w:val="00056C6F"/>
    <w:rsid w:val="000575D2"/>
    <w:rsid w:val="00082340"/>
    <w:rsid w:val="00091377"/>
    <w:rsid w:val="00091955"/>
    <w:rsid w:val="0009309D"/>
    <w:rsid w:val="00094172"/>
    <w:rsid w:val="000A24CD"/>
    <w:rsid w:val="000A43D2"/>
    <w:rsid w:val="000C03D1"/>
    <w:rsid w:val="000C3179"/>
    <w:rsid w:val="000C6FF2"/>
    <w:rsid w:val="000F0350"/>
    <w:rsid w:val="0010397B"/>
    <w:rsid w:val="00112219"/>
    <w:rsid w:val="001163E4"/>
    <w:rsid w:val="001352DB"/>
    <w:rsid w:val="001435B2"/>
    <w:rsid w:val="00143E7C"/>
    <w:rsid w:val="001500D6"/>
    <w:rsid w:val="00156623"/>
    <w:rsid w:val="00157E2E"/>
    <w:rsid w:val="00165259"/>
    <w:rsid w:val="00173EBE"/>
    <w:rsid w:val="00181A65"/>
    <w:rsid w:val="00182DAB"/>
    <w:rsid w:val="001849D5"/>
    <w:rsid w:val="00184D84"/>
    <w:rsid w:val="00191803"/>
    <w:rsid w:val="00191F0F"/>
    <w:rsid w:val="00195FEC"/>
    <w:rsid w:val="001A0FF0"/>
    <w:rsid w:val="001A5520"/>
    <w:rsid w:val="001B0864"/>
    <w:rsid w:val="001C1412"/>
    <w:rsid w:val="001C7C7D"/>
    <w:rsid w:val="001D548C"/>
    <w:rsid w:val="001D6CBE"/>
    <w:rsid w:val="001F390F"/>
    <w:rsid w:val="00216625"/>
    <w:rsid w:val="00217E94"/>
    <w:rsid w:val="00220178"/>
    <w:rsid w:val="00220818"/>
    <w:rsid w:val="00222DA9"/>
    <w:rsid w:val="00230FBF"/>
    <w:rsid w:val="00240236"/>
    <w:rsid w:val="00241302"/>
    <w:rsid w:val="00247043"/>
    <w:rsid w:val="00254827"/>
    <w:rsid w:val="00262900"/>
    <w:rsid w:val="00265B78"/>
    <w:rsid w:val="0027092F"/>
    <w:rsid w:val="00282F2C"/>
    <w:rsid w:val="00295835"/>
    <w:rsid w:val="00295D00"/>
    <w:rsid w:val="002A3F34"/>
    <w:rsid w:val="002A7F8F"/>
    <w:rsid w:val="002B20E1"/>
    <w:rsid w:val="002C4B43"/>
    <w:rsid w:val="002D0A9C"/>
    <w:rsid w:val="002D5752"/>
    <w:rsid w:val="002E2E85"/>
    <w:rsid w:val="002F225A"/>
    <w:rsid w:val="003006C5"/>
    <w:rsid w:val="00300F98"/>
    <w:rsid w:val="003068EA"/>
    <w:rsid w:val="00324E56"/>
    <w:rsid w:val="00326BE5"/>
    <w:rsid w:val="00350F0E"/>
    <w:rsid w:val="00355C57"/>
    <w:rsid w:val="00363C7B"/>
    <w:rsid w:val="00380126"/>
    <w:rsid w:val="0038704B"/>
    <w:rsid w:val="003A3BD5"/>
    <w:rsid w:val="003B6C6D"/>
    <w:rsid w:val="003C4DBF"/>
    <w:rsid w:val="003E2C6D"/>
    <w:rsid w:val="003E5B5F"/>
    <w:rsid w:val="003E6A4C"/>
    <w:rsid w:val="003E7C30"/>
    <w:rsid w:val="00402A4C"/>
    <w:rsid w:val="004050FF"/>
    <w:rsid w:val="004105CA"/>
    <w:rsid w:val="00423195"/>
    <w:rsid w:val="00426574"/>
    <w:rsid w:val="00426B56"/>
    <w:rsid w:val="004368F9"/>
    <w:rsid w:val="004407F6"/>
    <w:rsid w:val="00440C09"/>
    <w:rsid w:val="00445B94"/>
    <w:rsid w:val="00450EB4"/>
    <w:rsid w:val="00455622"/>
    <w:rsid w:val="00455B15"/>
    <w:rsid w:val="00470FCA"/>
    <w:rsid w:val="0047386E"/>
    <w:rsid w:val="00477A55"/>
    <w:rsid w:val="00497C05"/>
    <w:rsid w:val="00497CA1"/>
    <w:rsid w:val="004B09C4"/>
    <w:rsid w:val="004B6A0A"/>
    <w:rsid w:val="004D2022"/>
    <w:rsid w:val="004D2FA4"/>
    <w:rsid w:val="004D5699"/>
    <w:rsid w:val="004E14A9"/>
    <w:rsid w:val="00500AE8"/>
    <w:rsid w:val="00503FD7"/>
    <w:rsid w:val="005072BC"/>
    <w:rsid w:val="005206AA"/>
    <w:rsid w:val="00530F5D"/>
    <w:rsid w:val="0053186C"/>
    <w:rsid w:val="00532718"/>
    <w:rsid w:val="00534144"/>
    <w:rsid w:val="005372ED"/>
    <w:rsid w:val="00546085"/>
    <w:rsid w:val="00553F33"/>
    <w:rsid w:val="00566E14"/>
    <w:rsid w:val="00567D40"/>
    <w:rsid w:val="0057548F"/>
    <w:rsid w:val="005851C8"/>
    <w:rsid w:val="005B16DF"/>
    <w:rsid w:val="005B2C22"/>
    <w:rsid w:val="005C1668"/>
    <w:rsid w:val="005D24BB"/>
    <w:rsid w:val="005D3C69"/>
    <w:rsid w:val="005F4D8C"/>
    <w:rsid w:val="00607EEE"/>
    <w:rsid w:val="00617B0D"/>
    <w:rsid w:val="00627E96"/>
    <w:rsid w:val="00637437"/>
    <w:rsid w:val="00642436"/>
    <w:rsid w:val="00650741"/>
    <w:rsid w:val="006568C0"/>
    <w:rsid w:val="006849AA"/>
    <w:rsid w:val="0069219C"/>
    <w:rsid w:val="00693B88"/>
    <w:rsid w:val="006D2CB4"/>
    <w:rsid w:val="006E3163"/>
    <w:rsid w:val="006E59EA"/>
    <w:rsid w:val="00707625"/>
    <w:rsid w:val="007076BD"/>
    <w:rsid w:val="007152DF"/>
    <w:rsid w:val="00720716"/>
    <w:rsid w:val="0072087C"/>
    <w:rsid w:val="00730AB5"/>
    <w:rsid w:val="00732A1C"/>
    <w:rsid w:val="00740D7B"/>
    <w:rsid w:val="00744486"/>
    <w:rsid w:val="00754EA9"/>
    <w:rsid w:val="00766384"/>
    <w:rsid w:val="007926E2"/>
    <w:rsid w:val="007A5A25"/>
    <w:rsid w:val="007A606C"/>
    <w:rsid w:val="007B33DF"/>
    <w:rsid w:val="007B574C"/>
    <w:rsid w:val="007C1788"/>
    <w:rsid w:val="007C2E4C"/>
    <w:rsid w:val="007C4ED0"/>
    <w:rsid w:val="007D37FB"/>
    <w:rsid w:val="007D720A"/>
    <w:rsid w:val="007F7261"/>
    <w:rsid w:val="008211B8"/>
    <w:rsid w:val="00845A1E"/>
    <w:rsid w:val="00861171"/>
    <w:rsid w:val="00861417"/>
    <w:rsid w:val="00872380"/>
    <w:rsid w:val="00880F31"/>
    <w:rsid w:val="00882BBF"/>
    <w:rsid w:val="0088325D"/>
    <w:rsid w:val="008A296F"/>
    <w:rsid w:val="008C267B"/>
    <w:rsid w:val="008D0A0F"/>
    <w:rsid w:val="008D7BA4"/>
    <w:rsid w:val="008D7E62"/>
    <w:rsid w:val="008E2854"/>
    <w:rsid w:val="008F7FF4"/>
    <w:rsid w:val="00901E7F"/>
    <w:rsid w:val="00903EB7"/>
    <w:rsid w:val="00904504"/>
    <w:rsid w:val="009257A1"/>
    <w:rsid w:val="009308CF"/>
    <w:rsid w:val="009323F2"/>
    <w:rsid w:val="0093349B"/>
    <w:rsid w:val="00937438"/>
    <w:rsid w:val="00941394"/>
    <w:rsid w:val="009440BF"/>
    <w:rsid w:val="00953082"/>
    <w:rsid w:val="00956CE1"/>
    <w:rsid w:val="00967A53"/>
    <w:rsid w:val="00975F82"/>
    <w:rsid w:val="00981B5A"/>
    <w:rsid w:val="009845C3"/>
    <w:rsid w:val="009850FD"/>
    <w:rsid w:val="00993C27"/>
    <w:rsid w:val="009A15AC"/>
    <w:rsid w:val="009A3176"/>
    <w:rsid w:val="009A33AA"/>
    <w:rsid w:val="009A7E72"/>
    <w:rsid w:val="009B27C9"/>
    <w:rsid w:val="009C3590"/>
    <w:rsid w:val="009C7CEC"/>
    <w:rsid w:val="00A06ABA"/>
    <w:rsid w:val="00A132BA"/>
    <w:rsid w:val="00A22CF8"/>
    <w:rsid w:val="00A2373E"/>
    <w:rsid w:val="00A255F1"/>
    <w:rsid w:val="00A3665E"/>
    <w:rsid w:val="00A44CC4"/>
    <w:rsid w:val="00A57AC5"/>
    <w:rsid w:val="00A747F7"/>
    <w:rsid w:val="00A76273"/>
    <w:rsid w:val="00A80E18"/>
    <w:rsid w:val="00A81D56"/>
    <w:rsid w:val="00A82B47"/>
    <w:rsid w:val="00A838E0"/>
    <w:rsid w:val="00A85CB6"/>
    <w:rsid w:val="00A87E67"/>
    <w:rsid w:val="00A91D3D"/>
    <w:rsid w:val="00A961A3"/>
    <w:rsid w:val="00A963CE"/>
    <w:rsid w:val="00AA518B"/>
    <w:rsid w:val="00AC290E"/>
    <w:rsid w:val="00AF3660"/>
    <w:rsid w:val="00AF48D1"/>
    <w:rsid w:val="00AF6114"/>
    <w:rsid w:val="00B1344E"/>
    <w:rsid w:val="00B13E79"/>
    <w:rsid w:val="00B3657E"/>
    <w:rsid w:val="00B37152"/>
    <w:rsid w:val="00B40069"/>
    <w:rsid w:val="00B50BD1"/>
    <w:rsid w:val="00B51A3B"/>
    <w:rsid w:val="00B52553"/>
    <w:rsid w:val="00B52D74"/>
    <w:rsid w:val="00B7298A"/>
    <w:rsid w:val="00B7387F"/>
    <w:rsid w:val="00B80E1B"/>
    <w:rsid w:val="00B82D4A"/>
    <w:rsid w:val="00B86092"/>
    <w:rsid w:val="00B86D44"/>
    <w:rsid w:val="00B979DE"/>
    <w:rsid w:val="00BA31FB"/>
    <w:rsid w:val="00BA6540"/>
    <w:rsid w:val="00BB68B5"/>
    <w:rsid w:val="00BB7BCA"/>
    <w:rsid w:val="00BC10A9"/>
    <w:rsid w:val="00BC4748"/>
    <w:rsid w:val="00BD3206"/>
    <w:rsid w:val="00C021AF"/>
    <w:rsid w:val="00C07A51"/>
    <w:rsid w:val="00C11381"/>
    <w:rsid w:val="00C143D8"/>
    <w:rsid w:val="00C14F90"/>
    <w:rsid w:val="00C22B0B"/>
    <w:rsid w:val="00C301BD"/>
    <w:rsid w:val="00C35C2D"/>
    <w:rsid w:val="00C36626"/>
    <w:rsid w:val="00C429A7"/>
    <w:rsid w:val="00C50607"/>
    <w:rsid w:val="00C55A45"/>
    <w:rsid w:val="00C60E35"/>
    <w:rsid w:val="00C61810"/>
    <w:rsid w:val="00C8693D"/>
    <w:rsid w:val="00C87DBC"/>
    <w:rsid w:val="00C914B1"/>
    <w:rsid w:val="00C94A95"/>
    <w:rsid w:val="00C964D5"/>
    <w:rsid w:val="00CA5876"/>
    <w:rsid w:val="00CA6FF4"/>
    <w:rsid w:val="00CC06D6"/>
    <w:rsid w:val="00CC1277"/>
    <w:rsid w:val="00CC63FB"/>
    <w:rsid w:val="00CC712E"/>
    <w:rsid w:val="00CD203F"/>
    <w:rsid w:val="00CD3952"/>
    <w:rsid w:val="00CD4724"/>
    <w:rsid w:val="00CD6662"/>
    <w:rsid w:val="00CE1CAB"/>
    <w:rsid w:val="00CE46CE"/>
    <w:rsid w:val="00D06B89"/>
    <w:rsid w:val="00D12A21"/>
    <w:rsid w:val="00D234C4"/>
    <w:rsid w:val="00D36067"/>
    <w:rsid w:val="00D36FC6"/>
    <w:rsid w:val="00D43DA4"/>
    <w:rsid w:val="00D44198"/>
    <w:rsid w:val="00D529AF"/>
    <w:rsid w:val="00D54A08"/>
    <w:rsid w:val="00D71F43"/>
    <w:rsid w:val="00D80210"/>
    <w:rsid w:val="00D81A19"/>
    <w:rsid w:val="00D829FB"/>
    <w:rsid w:val="00D85409"/>
    <w:rsid w:val="00DA2B31"/>
    <w:rsid w:val="00DC2CF2"/>
    <w:rsid w:val="00DD79D0"/>
    <w:rsid w:val="00DF32E1"/>
    <w:rsid w:val="00DF63E1"/>
    <w:rsid w:val="00E07ACF"/>
    <w:rsid w:val="00E27181"/>
    <w:rsid w:val="00E4022A"/>
    <w:rsid w:val="00E41D95"/>
    <w:rsid w:val="00E5335E"/>
    <w:rsid w:val="00E56555"/>
    <w:rsid w:val="00E612D7"/>
    <w:rsid w:val="00E641C4"/>
    <w:rsid w:val="00E67420"/>
    <w:rsid w:val="00E731FF"/>
    <w:rsid w:val="00E81B11"/>
    <w:rsid w:val="00E86CD8"/>
    <w:rsid w:val="00E9422B"/>
    <w:rsid w:val="00EA5052"/>
    <w:rsid w:val="00EA5333"/>
    <w:rsid w:val="00EB0CB2"/>
    <w:rsid w:val="00EC3FC6"/>
    <w:rsid w:val="00EC6923"/>
    <w:rsid w:val="00ED6D7E"/>
    <w:rsid w:val="00EF0C20"/>
    <w:rsid w:val="00EF0E40"/>
    <w:rsid w:val="00F02C0F"/>
    <w:rsid w:val="00F163AC"/>
    <w:rsid w:val="00F21E99"/>
    <w:rsid w:val="00F27E2C"/>
    <w:rsid w:val="00F32CF3"/>
    <w:rsid w:val="00F55AA8"/>
    <w:rsid w:val="00F6364D"/>
    <w:rsid w:val="00F7778E"/>
    <w:rsid w:val="00F81A5E"/>
    <w:rsid w:val="00F921E2"/>
    <w:rsid w:val="00FB33E9"/>
    <w:rsid w:val="00FB7444"/>
    <w:rsid w:val="00FB7CC9"/>
    <w:rsid w:val="00FC0C85"/>
    <w:rsid w:val="00FC2680"/>
    <w:rsid w:val="00FD3120"/>
    <w:rsid w:val="00FD65B9"/>
    <w:rsid w:val="00FF3480"/>
    <w:rsid w:val="00FF5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C1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2B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07A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3E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7A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07ACF"/>
    <w:pPr>
      <w:ind w:left="720"/>
      <w:contextualSpacing/>
    </w:pPr>
  </w:style>
  <w:style w:type="character" w:customStyle="1" w:styleId="Heading1Char">
    <w:name w:val="Heading 1 Char"/>
    <w:basedOn w:val="DefaultParagraphFont"/>
    <w:link w:val="Heading1"/>
    <w:uiPriority w:val="9"/>
    <w:rsid w:val="00C22B0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C14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141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93B88"/>
    <w:rPr>
      <w:rFonts w:ascii="Lucida Grande" w:hAnsi="Lucida Grande"/>
      <w:sz w:val="18"/>
      <w:szCs w:val="18"/>
    </w:rPr>
  </w:style>
  <w:style w:type="character" w:customStyle="1" w:styleId="BalloonTextChar">
    <w:name w:val="Balloon Text Char"/>
    <w:basedOn w:val="DefaultParagraphFont"/>
    <w:link w:val="BalloonText"/>
    <w:uiPriority w:val="99"/>
    <w:semiHidden/>
    <w:rsid w:val="00693B88"/>
    <w:rPr>
      <w:rFonts w:ascii="Lucida Grande" w:hAnsi="Lucida Grande"/>
      <w:sz w:val="18"/>
      <w:szCs w:val="18"/>
    </w:rPr>
  </w:style>
  <w:style w:type="character" w:customStyle="1" w:styleId="Heading3Char">
    <w:name w:val="Heading 3 Char"/>
    <w:basedOn w:val="DefaultParagraphFont"/>
    <w:link w:val="Heading3"/>
    <w:uiPriority w:val="9"/>
    <w:rsid w:val="00143E7C"/>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F163AC"/>
  </w:style>
  <w:style w:type="character" w:customStyle="1" w:styleId="FootnoteTextChar">
    <w:name w:val="Footnote Text Char"/>
    <w:basedOn w:val="DefaultParagraphFont"/>
    <w:link w:val="FootnoteText"/>
    <w:uiPriority w:val="99"/>
    <w:rsid w:val="00F163AC"/>
  </w:style>
  <w:style w:type="character" w:styleId="FootnoteReference">
    <w:name w:val="footnote reference"/>
    <w:basedOn w:val="DefaultParagraphFont"/>
    <w:uiPriority w:val="99"/>
    <w:unhideWhenUsed/>
    <w:rsid w:val="00F163AC"/>
    <w:rPr>
      <w:vertAlign w:val="superscript"/>
    </w:rPr>
  </w:style>
  <w:style w:type="character" w:styleId="Hyperlink">
    <w:name w:val="Hyperlink"/>
    <w:basedOn w:val="DefaultParagraphFont"/>
    <w:uiPriority w:val="99"/>
    <w:unhideWhenUsed/>
    <w:rsid w:val="00F163AC"/>
    <w:rPr>
      <w:color w:val="0000FF" w:themeColor="hyperlink"/>
      <w:u w:val="single"/>
    </w:rPr>
  </w:style>
  <w:style w:type="paragraph" w:styleId="Footer">
    <w:name w:val="footer"/>
    <w:basedOn w:val="Normal"/>
    <w:link w:val="FooterChar"/>
    <w:uiPriority w:val="99"/>
    <w:unhideWhenUsed/>
    <w:rsid w:val="00EB0CB2"/>
    <w:pPr>
      <w:tabs>
        <w:tab w:val="center" w:pos="4320"/>
        <w:tab w:val="right" w:pos="8640"/>
      </w:tabs>
    </w:pPr>
  </w:style>
  <w:style w:type="character" w:customStyle="1" w:styleId="FooterChar">
    <w:name w:val="Footer Char"/>
    <w:basedOn w:val="DefaultParagraphFont"/>
    <w:link w:val="Footer"/>
    <w:uiPriority w:val="99"/>
    <w:rsid w:val="00EB0CB2"/>
  </w:style>
  <w:style w:type="character" w:styleId="PageNumber">
    <w:name w:val="page number"/>
    <w:basedOn w:val="DefaultParagraphFont"/>
    <w:uiPriority w:val="99"/>
    <w:semiHidden/>
    <w:unhideWhenUsed/>
    <w:rsid w:val="00EB0CB2"/>
  </w:style>
  <w:style w:type="paragraph" w:styleId="NormalWeb">
    <w:name w:val="Normal (Web)"/>
    <w:basedOn w:val="Normal"/>
    <w:uiPriority w:val="99"/>
    <w:semiHidden/>
    <w:unhideWhenUsed/>
    <w:rsid w:val="0057548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7548F"/>
  </w:style>
  <w:style w:type="character" w:styleId="CommentReference">
    <w:name w:val="annotation reference"/>
    <w:basedOn w:val="DefaultParagraphFont"/>
    <w:uiPriority w:val="99"/>
    <w:semiHidden/>
    <w:unhideWhenUsed/>
    <w:rsid w:val="00546085"/>
    <w:rPr>
      <w:sz w:val="18"/>
      <w:szCs w:val="18"/>
    </w:rPr>
  </w:style>
  <w:style w:type="paragraph" w:styleId="CommentText">
    <w:name w:val="annotation text"/>
    <w:basedOn w:val="Normal"/>
    <w:link w:val="CommentTextChar"/>
    <w:uiPriority w:val="99"/>
    <w:unhideWhenUsed/>
    <w:rsid w:val="00546085"/>
  </w:style>
  <w:style w:type="character" w:customStyle="1" w:styleId="CommentTextChar">
    <w:name w:val="Comment Text Char"/>
    <w:basedOn w:val="DefaultParagraphFont"/>
    <w:link w:val="CommentText"/>
    <w:uiPriority w:val="99"/>
    <w:rsid w:val="00546085"/>
  </w:style>
  <w:style w:type="paragraph" w:styleId="CommentSubject">
    <w:name w:val="annotation subject"/>
    <w:basedOn w:val="CommentText"/>
    <w:next w:val="CommentText"/>
    <w:link w:val="CommentSubjectChar"/>
    <w:uiPriority w:val="99"/>
    <w:semiHidden/>
    <w:unhideWhenUsed/>
    <w:rsid w:val="00546085"/>
    <w:rPr>
      <w:b/>
      <w:bCs/>
      <w:sz w:val="20"/>
      <w:szCs w:val="20"/>
    </w:rPr>
  </w:style>
  <w:style w:type="character" w:customStyle="1" w:styleId="CommentSubjectChar">
    <w:name w:val="Comment Subject Char"/>
    <w:basedOn w:val="CommentTextChar"/>
    <w:link w:val="CommentSubject"/>
    <w:uiPriority w:val="99"/>
    <w:semiHidden/>
    <w:rsid w:val="00546085"/>
    <w:rPr>
      <w:b/>
      <w:bCs/>
      <w:sz w:val="20"/>
      <w:szCs w:val="20"/>
    </w:rPr>
  </w:style>
  <w:style w:type="paragraph" w:styleId="Revision">
    <w:name w:val="Revision"/>
    <w:hidden/>
    <w:uiPriority w:val="99"/>
    <w:semiHidden/>
    <w:rsid w:val="00217E94"/>
  </w:style>
  <w:style w:type="character" w:styleId="FollowedHyperlink">
    <w:name w:val="FollowedHyperlink"/>
    <w:basedOn w:val="DefaultParagraphFont"/>
    <w:uiPriority w:val="99"/>
    <w:semiHidden/>
    <w:unhideWhenUsed/>
    <w:rsid w:val="003E5B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2B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07A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3E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7A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07ACF"/>
    <w:pPr>
      <w:ind w:left="720"/>
      <w:contextualSpacing/>
    </w:pPr>
  </w:style>
  <w:style w:type="character" w:customStyle="1" w:styleId="Heading1Char">
    <w:name w:val="Heading 1 Char"/>
    <w:basedOn w:val="DefaultParagraphFont"/>
    <w:link w:val="Heading1"/>
    <w:uiPriority w:val="9"/>
    <w:rsid w:val="00C22B0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C14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141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93B88"/>
    <w:rPr>
      <w:rFonts w:ascii="Lucida Grande" w:hAnsi="Lucida Grande"/>
      <w:sz w:val="18"/>
      <w:szCs w:val="18"/>
    </w:rPr>
  </w:style>
  <w:style w:type="character" w:customStyle="1" w:styleId="BalloonTextChar">
    <w:name w:val="Balloon Text Char"/>
    <w:basedOn w:val="DefaultParagraphFont"/>
    <w:link w:val="BalloonText"/>
    <w:uiPriority w:val="99"/>
    <w:semiHidden/>
    <w:rsid w:val="00693B88"/>
    <w:rPr>
      <w:rFonts w:ascii="Lucida Grande" w:hAnsi="Lucida Grande"/>
      <w:sz w:val="18"/>
      <w:szCs w:val="18"/>
    </w:rPr>
  </w:style>
  <w:style w:type="character" w:customStyle="1" w:styleId="Heading3Char">
    <w:name w:val="Heading 3 Char"/>
    <w:basedOn w:val="DefaultParagraphFont"/>
    <w:link w:val="Heading3"/>
    <w:uiPriority w:val="9"/>
    <w:rsid w:val="00143E7C"/>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F163AC"/>
  </w:style>
  <w:style w:type="character" w:customStyle="1" w:styleId="FootnoteTextChar">
    <w:name w:val="Footnote Text Char"/>
    <w:basedOn w:val="DefaultParagraphFont"/>
    <w:link w:val="FootnoteText"/>
    <w:uiPriority w:val="99"/>
    <w:rsid w:val="00F163AC"/>
  </w:style>
  <w:style w:type="character" w:styleId="FootnoteReference">
    <w:name w:val="footnote reference"/>
    <w:basedOn w:val="DefaultParagraphFont"/>
    <w:uiPriority w:val="99"/>
    <w:unhideWhenUsed/>
    <w:rsid w:val="00F163AC"/>
    <w:rPr>
      <w:vertAlign w:val="superscript"/>
    </w:rPr>
  </w:style>
  <w:style w:type="character" w:styleId="Hyperlink">
    <w:name w:val="Hyperlink"/>
    <w:basedOn w:val="DefaultParagraphFont"/>
    <w:uiPriority w:val="99"/>
    <w:unhideWhenUsed/>
    <w:rsid w:val="00F163AC"/>
    <w:rPr>
      <w:color w:val="0000FF" w:themeColor="hyperlink"/>
      <w:u w:val="single"/>
    </w:rPr>
  </w:style>
  <w:style w:type="paragraph" w:styleId="Footer">
    <w:name w:val="footer"/>
    <w:basedOn w:val="Normal"/>
    <w:link w:val="FooterChar"/>
    <w:uiPriority w:val="99"/>
    <w:unhideWhenUsed/>
    <w:rsid w:val="00EB0CB2"/>
    <w:pPr>
      <w:tabs>
        <w:tab w:val="center" w:pos="4320"/>
        <w:tab w:val="right" w:pos="8640"/>
      </w:tabs>
    </w:pPr>
  </w:style>
  <w:style w:type="character" w:customStyle="1" w:styleId="FooterChar">
    <w:name w:val="Footer Char"/>
    <w:basedOn w:val="DefaultParagraphFont"/>
    <w:link w:val="Footer"/>
    <w:uiPriority w:val="99"/>
    <w:rsid w:val="00EB0CB2"/>
  </w:style>
  <w:style w:type="character" w:styleId="PageNumber">
    <w:name w:val="page number"/>
    <w:basedOn w:val="DefaultParagraphFont"/>
    <w:uiPriority w:val="99"/>
    <w:semiHidden/>
    <w:unhideWhenUsed/>
    <w:rsid w:val="00EB0CB2"/>
  </w:style>
  <w:style w:type="paragraph" w:styleId="NormalWeb">
    <w:name w:val="Normal (Web)"/>
    <w:basedOn w:val="Normal"/>
    <w:uiPriority w:val="99"/>
    <w:semiHidden/>
    <w:unhideWhenUsed/>
    <w:rsid w:val="0057548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7548F"/>
  </w:style>
  <w:style w:type="character" w:styleId="CommentReference">
    <w:name w:val="annotation reference"/>
    <w:basedOn w:val="DefaultParagraphFont"/>
    <w:uiPriority w:val="99"/>
    <w:semiHidden/>
    <w:unhideWhenUsed/>
    <w:rsid w:val="00546085"/>
    <w:rPr>
      <w:sz w:val="18"/>
      <w:szCs w:val="18"/>
    </w:rPr>
  </w:style>
  <w:style w:type="paragraph" w:styleId="CommentText">
    <w:name w:val="annotation text"/>
    <w:basedOn w:val="Normal"/>
    <w:link w:val="CommentTextChar"/>
    <w:uiPriority w:val="99"/>
    <w:unhideWhenUsed/>
    <w:rsid w:val="00546085"/>
  </w:style>
  <w:style w:type="character" w:customStyle="1" w:styleId="CommentTextChar">
    <w:name w:val="Comment Text Char"/>
    <w:basedOn w:val="DefaultParagraphFont"/>
    <w:link w:val="CommentText"/>
    <w:uiPriority w:val="99"/>
    <w:rsid w:val="00546085"/>
  </w:style>
  <w:style w:type="paragraph" w:styleId="CommentSubject">
    <w:name w:val="annotation subject"/>
    <w:basedOn w:val="CommentText"/>
    <w:next w:val="CommentText"/>
    <w:link w:val="CommentSubjectChar"/>
    <w:uiPriority w:val="99"/>
    <w:semiHidden/>
    <w:unhideWhenUsed/>
    <w:rsid w:val="00546085"/>
    <w:rPr>
      <w:b/>
      <w:bCs/>
      <w:sz w:val="20"/>
      <w:szCs w:val="20"/>
    </w:rPr>
  </w:style>
  <w:style w:type="character" w:customStyle="1" w:styleId="CommentSubjectChar">
    <w:name w:val="Comment Subject Char"/>
    <w:basedOn w:val="CommentTextChar"/>
    <w:link w:val="CommentSubject"/>
    <w:uiPriority w:val="99"/>
    <w:semiHidden/>
    <w:rsid w:val="00546085"/>
    <w:rPr>
      <w:b/>
      <w:bCs/>
      <w:sz w:val="20"/>
      <w:szCs w:val="20"/>
    </w:rPr>
  </w:style>
  <w:style w:type="paragraph" w:styleId="Revision">
    <w:name w:val="Revision"/>
    <w:hidden/>
    <w:uiPriority w:val="99"/>
    <w:semiHidden/>
    <w:rsid w:val="00217E94"/>
  </w:style>
  <w:style w:type="character" w:styleId="FollowedHyperlink">
    <w:name w:val="FollowedHyperlink"/>
    <w:basedOn w:val="DefaultParagraphFont"/>
    <w:uiPriority w:val="99"/>
    <w:semiHidden/>
    <w:unhideWhenUsed/>
    <w:rsid w:val="003E5B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2699">
      <w:bodyDiv w:val="1"/>
      <w:marLeft w:val="0"/>
      <w:marRight w:val="0"/>
      <w:marTop w:val="0"/>
      <w:marBottom w:val="0"/>
      <w:divBdr>
        <w:top w:val="none" w:sz="0" w:space="0" w:color="auto"/>
        <w:left w:val="none" w:sz="0" w:space="0" w:color="auto"/>
        <w:bottom w:val="none" w:sz="0" w:space="0" w:color="auto"/>
        <w:right w:val="none" w:sz="0" w:space="0" w:color="auto"/>
      </w:divBdr>
    </w:div>
    <w:div w:id="838615230">
      <w:bodyDiv w:val="1"/>
      <w:marLeft w:val="0"/>
      <w:marRight w:val="0"/>
      <w:marTop w:val="0"/>
      <w:marBottom w:val="0"/>
      <w:divBdr>
        <w:top w:val="none" w:sz="0" w:space="0" w:color="auto"/>
        <w:left w:val="none" w:sz="0" w:space="0" w:color="auto"/>
        <w:bottom w:val="none" w:sz="0" w:space="0" w:color="auto"/>
        <w:right w:val="none" w:sz="0" w:space="0" w:color="auto"/>
      </w:divBdr>
    </w:div>
    <w:div w:id="1057170741">
      <w:bodyDiv w:val="1"/>
      <w:marLeft w:val="0"/>
      <w:marRight w:val="0"/>
      <w:marTop w:val="0"/>
      <w:marBottom w:val="0"/>
      <w:divBdr>
        <w:top w:val="none" w:sz="0" w:space="0" w:color="auto"/>
        <w:left w:val="none" w:sz="0" w:space="0" w:color="auto"/>
        <w:bottom w:val="none" w:sz="0" w:space="0" w:color="auto"/>
        <w:right w:val="none" w:sz="0" w:space="0" w:color="auto"/>
      </w:divBdr>
    </w:div>
    <w:div w:id="1505167023">
      <w:bodyDiv w:val="1"/>
      <w:marLeft w:val="0"/>
      <w:marRight w:val="0"/>
      <w:marTop w:val="0"/>
      <w:marBottom w:val="0"/>
      <w:divBdr>
        <w:top w:val="none" w:sz="0" w:space="0" w:color="auto"/>
        <w:left w:val="none" w:sz="0" w:space="0" w:color="auto"/>
        <w:bottom w:val="none" w:sz="0" w:space="0" w:color="auto"/>
        <w:right w:val="none" w:sz="0" w:space="0" w:color="auto"/>
      </w:divBdr>
    </w:div>
    <w:div w:id="1560289744">
      <w:bodyDiv w:val="1"/>
      <w:marLeft w:val="0"/>
      <w:marRight w:val="0"/>
      <w:marTop w:val="0"/>
      <w:marBottom w:val="0"/>
      <w:divBdr>
        <w:top w:val="none" w:sz="0" w:space="0" w:color="auto"/>
        <w:left w:val="none" w:sz="0" w:space="0" w:color="auto"/>
        <w:bottom w:val="none" w:sz="0" w:space="0" w:color="auto"/>
        <w:right w:val="none" w:sz="0" w:space="0" w:color="auto"/>
      </w:divBdr>
    </w:div>
    <w:div w:id="1610626398">
      <w:bodyDiv w:val="1"/>
      <w:marLeft w:val="0"/>
      <w:marRight w:val="0"/>
      <w:marTop w:val="0"/>
      <w:marBottom w:val="0"/>
      <w:divBdr>
        <w:top w:val="none" w:sz="0" w:space="0" w:color="auto"/>
        <w:left w:val="none" w:sz="0" w:space="0" w:color="auto"/>
        <w:bottom w:val="none" w:sz="0" w:space="0" w:color="auto"/>
        <w:right w:val="none" w:sz="0" w:space="0" w:color="auto"/>
      </w:divBdr>
    </w:div>
    <w:div w:id="1694501221">
      <w:bodyDiv w:val="1"/>
      <w:marLeft w:val="0"/>
      <w:marRight w:val="0"/>
      <w:marTop w:val="0"/>
      <w:marBottom w:val="0"/>
      <w:divBdr>
        <w:top w:val="none" w:sz="0" w:space="0" w:color="auto"/>
        <w:left w:val="none" w:sz="0" w:space="0" w:color="auto"/>
        <w:bottom w:val="none" w:sz="0" w:space="0" w:color="auto"/>
        <w:right w:val="none" w:sz="0" w:space="0" w:color="auto"/>
      </w:divBdr>
    </w:div>
    <w:div w:id="1886680004">
      <w:bodyDiv w:val="1"/>
      <w:marLeft w:val="0"/>
      <w:marRight w:val="0"/>
      <w:marTop w:val="0"/>
      <w:marBottom w:val="0"/>
      <w:divBdr>
        <w:top w:val="none" w:sz="0" w:space="0" w:color="auto"/>
        <w:left w:val="none" w:sz="0" w:space="0" w:color="auto"/>
        <w:bottom w:val="none" w:sz="0" w:space="0" w:color="auto"/>
        <w:right w:val="none" w:sz="0" w:space="0" w:color="auto"/>
      </w:divBdr>
    </w:div>
    <w:div w:id="2061048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gitalpromise.org/initiatives/research" TargetMode="External"/><Relationship Id="rId12" Type="http://schemas.openxmlformats.org/officeDocument/2006/relationships/hyperlink" Target="http://www.digitalpromise.org/initiatives/adult-learning" TargetMode="External"/><Relationship Id="rId13" Type="http://schemas.openxmlformats.org/officeDocument/2006/relationships/hyperlink" Target="http://www.digitalpromise.org/initiatives/educator-micro-credentials" TargetMode="External"/><Relationship Id="rId14" Type="http://schemas.openxmlformats.org/officeDocument/2006/relationships/hyperlink" Target="mailto:marketplace@digitalpromise.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digitalpromise.org/league" TargetMode="External"/><Relationship Id="rId10" Type="http://schemas.openxmlformats.org/officeDocument/2006/relationships/hyperlink" Target="http://www.digitalpromise.org/initiatives/marketpla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crc.tc.columbia.edu/Community-College-FAQs.html" TargetMode="External"/><Relationship Id="rId4" Type="http://schemas.openxmlformats.org/officeDocument/2006/relationships/hyperlink" Target="http://www.digitalpromise.org/ideo-digital-promise-release-evolving-ed-tech-procurement-in-school-districts/" TargetMode="External"/><Relationship Id="rId5" Type="http://schemas.openxmlformats.org/officeDocument/2006/relationships/hyperlink" Target="http://www.digitalpromise.org/join-us-in-improving-ed-tech-purchasing-practice/" TargetMode="External"/><Relationship Id="rId1" Type="http://schemas.openxmlformats.org/officeDocument/2006/relationships/hyperlink" Target="https://www.siia.net/blog/index.php/tag/education-technology-market/" TargetMode="External"/><Relationship Id="rId2" Type="http://schemas.openxmlformats.org/officeDocument/2006/relationships/hyperlink" Target="http://skills.oecd.org/Survey_of_Adult_Skills_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3809</Words>
  <Characters>21713</Characters>
  <Application>Microsoft Macintosh Word</Application>
  <DocSecurity>0</DocSecurity>
  <Lines>180</Lines>
  <Paragraphs>50</Paragraphs>
  <ScaleCrop>false</ScaleCrop>
  <Company/>
  <LinksUpToDate>false</LinksUpToDate>
  <CharactersWithSpaces>25472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Campbell</dc:creator>
  <cp:keywords/>
  <dc:description/>
  <cp:lastModifiedBy>Philip Martin</cp:lastModifiedBy>
  <cp:revision>5</cp:revision>
  <cp:lastPrinted>2014-03-07T23:45:00Z</cp:lastPrinted>
  <dcterms:created xsi:type="dcterms:W3CDTF">2014-08-27T16:14:00Z</dcterms:created>
  <dcterms:modified xsi:type="dcterms:W3CDTF">2014-08-27T16:29:00Z</dcterms:modified>
</cp:coreProperties>
</file>